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ind w:left="990" w:firstLine="0"/>
        <w:jc w:val="left"/>
        <w:rPr>
          <w:rFonts w:ascii="Iowan Old Style Roman" w:cs="Iowan Old Style Roman" w:hAnsi="Iowan Old Style Roman" w:eastAsia="Iowan Old Style Roman"/>
          <w:b w:val="1"/>
          <w:bCs w:val="1"/>
          <w:sz w:val="14"/>
          <w:szCs w:val="14"/>
        </w:rPr>
      </w:pP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jc w:val="center"/>
        <w:rPr>
          <w:rFonts w:ascii="Damascus Regular" w:cs="Damascus Regular" w:hAnsi="Damascus Regular" w:eastAsia="Damascus Regular"/>
        </w:rPr>
      </w:pP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jc w:val="center"/>
        <w:rPr>
          <w:rFonts w:ascii="Avenir Next Regular" w:cs="Avenir Next Regular" w:hAnsi="Avenir Next Regular" w:eastAsia="Avenir Next Regular"/>
        </w:rPr>
      </w:pP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jc w:val="center"/>
        <w:rPr>
          <w:rFonts w:ascii="Avenir Next Regular" w:cs="Avenir Next Regular" w:hAnsi="Avenir Next Regular" w:eastAsia="Avenir Next Regular"/>
        </w:rPr>
      </w:pPr>
    </w:p>
    <w:p>
      <w:pPr>
        <w:pStyle w:val="Body"/>
        <w:bidi w:val="0"/>
      </w:pP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jc w:val="center"/>
        <w:rPr>
          <w:b w:val="1"/>
          <w:bCs w:val="1"/>
        </w:rPr>
      </w:pP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jc w:val="center"/>
        <w:rPr>
          <w:b w:val="1"/>
          <w:bCs w:val="1"/>
        </w:rPr>
      </w:pP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jc w:val="center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LEGAL REVIEW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Fonts w:cs="Arial Unicode MS" w:eastAsia="Arial Unicode MS"/>
          <w:rtl w:val="0"/>
          <w:lang w:val="en-US"/>
        </w:rPr>
        <w:t>Date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Fonts w:cs="Arial Unicode MS" w:eastAsia="Arial Unicode MS"/>
          <w:rtl w:val="0"/>
          <w:lang w:val="en-US"/>
        </w:rPr>
        <w:t xml:space="preserve">DR. CARMENCITA D. PADILLA                                                          </w:t>
      </w:r>
    </w:p>
    <w:p>
      <w:pPr>
        <w:pStyle w:val="Body"/>
        <w:bidi w:val="0"/>
      </w:pPr>
      <w:r>
        <w:rPr>
          <w:rFonts w:cs="Arial Unicode MS" w:eastAsia="Arial Unicode MS"/>
          <w:rtl w:val="0"/>
          <w:lang w:val="en-US"/>
        </w:rPr>
        <w:t>Chancellor</w:t>
      </w: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ind w:left="2529" w:hanging="1985"/>
      </w:pPr>
      <w:r>
        <w:rPr>
          <w:rtl w:val="0"/>
          <w:lang w:val="en-US"/>
        </w:rPr>
        <w:tab/>
        <w:t>&lt;&lt;Name/position of appropriate VC&gt;&gt;</w:t>
      </w: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ind w:left="2529" w:hanging="1985"/>
      </w:pP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ind w:left="2529" w:hanging="1985"/>
      </w:pPr>
      <w:r>
        <w:rPr>
          <w:rtl w:val="0"/>
          <w:lang w:val="en-US"/>
        </w:rPr>
        <w:t>Through:</w:t>
        <w:tab/>
        <w:t xml:space="preserve">DR. NYMIA P. SIMBULAN                                                 </w:t>
      </w: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ind w:left="2529" w:hanging="1985"/>
      </w:pPr>
      <w:r>
        <w:rPr>
          <w:rtl w:val="0"/>
          <w:lang w:val="en-US"/>
        </w:rPr>
        <w:tab/>
        <w:t>Vice Chancellor for Academic Affairs</w:t>
      </w: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ind w:left="2529" w:hanging="1985"/>
      </w:pP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ind w:left="2529" w:hanging="1985"/>
      </w:pPr>
      <w:r>
        <w:rPr>
          <w:rtl w:val="0"/>
          <w:lang w:val="en-US"/>
        </w:rPr>
        <w:tab/>
        <w:t xml:space="preserve">DR. MICHAEL L. TEE                                                    </w:t>
      </w: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ind w:left="2529" w:hanging="1985"/>
      </w:pPr>
      <w:r>
        <w:rPr>
          <w:rtl w:val="0"/>
          <w:lang w:val="en-US"/>
        </w:rPr>
        <w:tab/>
        <w:t>Vice Chancellor for Planning and Development</w:t>
      </w: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ind w:left="2529" w:hanging="1985"/>
      </w:pP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ind w:left="2529" w:hanging="1985"/>
      </w:pPr>
      <w:r>
        <w:rPr>
          <w:rtl w:val="0"/>
          <w:lang w:val="en-US"/>
        </w:rPr>
        <w:tab/>
        <w:t>DR. EDWARD H. WANG</w:t>
      </w: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ind w:left="2529" w:hanging="1985"/>
      </w:pPr>
      <w:r>
        <w:rPr>
          <w:rtl w:val="0"/>
          <w:lang w:val="en-US"/>
        </w:rPr>
        <w:tab/>
        <w:t>Vice Chancellor for Research</w:t>
      </w: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ind w:left="2529" w:hanging="1985"/>
      </w:pP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ind w:left="2529" w:hanging="1985"/>
      </w:pPr>
      <w:r>
        <w:rPr>
          <w:rtl w:val="0"/>
          <w:lang w:val="en-US"/>
        </w:rPr>
        <w:tab/>
        <w:t>DR. EVA MARIA CUTIONGCO-DE LA PAZ</w:t>
      </w: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ind w:left="2529" w:hanging="1985"/>
      </w:pPr>
      <w:r>
        <w:rPr>
          <w:rtl w:val="0"/>
          <w:lang w:val="en-US"/>
        </w:rPr>
        <w:tab/>
        <w:t>Executive Director, National Institutes of Health</w:t>
      </w: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ind w:left="2529" w:hanging="1985"/>
      </w:pP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ind w:left="2529" w:hanging="1985"/>
      </w:pPr>
      <w:r>
        <w:rPr>
          <w:rtl w:val="0"/>
          <w:lang w:val="en-US"/>
        </w:rPr>
        <w:t>Subject:</w:t>
        <w:tab/>
        <w:t>Legal</w:t>
      </w:r>
      <w:r>
        <mc:AlternateContent>
          <mc:Choice Requires="wps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4987</wp:posOffset>
                </wp:positionH>
                <wp:positionV relativeFrom="page">
                  <wp:posOffset>3664086</wp:posOffset>
                </wp:positionV>
                <wp:extent cx="183084" cy="0"/>
                <wp:effectExtent l="0" t="0" r="0" b="0"/>
                <wp:wrapNone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084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0.4pt;margin-top:288.5pt;width:14.4pt;height:0.0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0.5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line>
            </w:pict>
          </mc:Fallback>
        </mc:AlternateContent>
      </w:r>
      <w:r>
        <mc:AlternateContent>
          <mc:Choice Requires="wpg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915560</wp:posOffset>
                </wp:positionH>
                <wp:positionV relativeFrom="page">
                  <wp:posOffset>589823</wp:posOffset>
                </wp:positionV>
                <wp:extent cx="5942440" cy="1099570"/>
                <wp:effectExtent l="0" t="0" r="0" b="0"/>
                <wp:wrapNone/>
                <wp:docPr id="1073741829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2440" cy="1099570"/>
                          <a:chOff x="0" y="0"/>
                          <a:chExt cx="5942439" cy="1099569"/>
                        </a:xfrm>
                      </wpg:grpSpPr>
                      <pic:pic xmlns:pic="http://schemas.openxmlformats.org/drawingml/2006/picture">
                        <pic:nvPicPr>
                          <pic:cNvPr id="1073741826" name="pasted-image.tiff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684" cy="914683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7" name="Shape 1073741827"/>
                        <wps:cNvSpPr txBox="1"/>
                        <wps:spPr>
                          <a:xfrm>
                            <a:off x="1012553" y="0"/>
                            <a:ext cx="4928727" cy="631455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Body"/>
                                <w:rPr>
                                  <w:rFonts w:ascii="Palatino" w:cs="Palatino" w:hAnsi="Palatino" w:eastAsia="Palatino"/>
                                  <w:i w:val="1"/>
                                  <w:iCs w:val="1"/>
                                  <w:outline w:val="0"/>
                                  <w:color w:val="000000"/>
                                  <w:sz w:val="32"/>
                                  <w:szCs w:val="32"/>
                                  <w14:textFill>
                                    <w14:solidFill>
                                      <w14:srgbClr w14:val="000000">
                                        <w14:alpha w14:val="40430"/>
                                      </w14:srgb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Palatino" w:hAnsi="Palatino"/>
                                  <w:i w:val="1"/>
                                  <w:iCs w:val="1"/>
                                  <w:outline w:val="0"/>
                                  <w:color w:val="000000"/>
                                  <w:sz w:val="32"/>
                                  <w:szCs w:val="32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>
                                        <w14:alpha w14:val="40430"/>
                                      </w14:srgbClr>
                                    </w14:solidFill>
                                  </w14:textFill>
                                </w:rPr>
                                <w:t>LEGAL OFFICE</w:t>
                              </w:r>
                            </w:p>
                            <w:p>
                              <w:pPr>
                                <w:pStyle w:val="Body"/>
                              </w:pPr>
                              <w:r>
                                <w:rPr>
                                  <w:rFonts w:ascii="Palatino" w:hAnsi="Palatino"/>
                                  <w:sz w:val="34"/>
                                  <w:szCs w:val="34"/>
                                  <w:rtl w:val="0"/>
                                  <w:lang w:val="en-US"/>
                                </w:rPr>
                                <w:t>UNIVERSITY OF THE PHILIPPINES MANILA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  <wps:wsp>
                        <wps:cNvPr id="1073741828" name="Shape 1073741828"/>
                        <wps:cNvSpPr txBox="1"/>
                        <wps:spPr>
                          <a:xfrm>
                            <a:off x="3212396" y="631454"/>
                            <a:ext cx="2730044" cy="468116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Body"/>
                                <w:jc w:val="right"/>
                                <w:rPr>
                                  <w:rFonts w:ascii="Palatino" w:cs="Palatino" w:hAnsi="Palatino" w:eastAsia="Palatino"/>
                                  <w:outline w:val="0"/>
                                  <w:color w:val="000000"/>
                                  <w:sz w:val="20"/>
                                  <w:szCs w:val="20"/>
                                  <w14:textFill>
                                    <w14:solidFill>
                                      <w14:srgbClr w14:val="000000">
                                        <w14:alpha w14:val="39888"/>
                                      </w14:srgb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Palatino" w:hAnsi="Palatino"/>
                                  <w:outline w:val="0"/>
                                  <w:color w:val="000000"/>
                                  <w:sz w:val="20"/>
                                  <w:szCs w:val="20"/>
                                  <w:rtl w:val="0"/>
                                  <w:lang w:val="it-IT"/>
                                  <w14:textFill>
                                    <w14:solidFill>
                                      <w14:srgbClr w14:val="000000">
                                        <w14:alpha w14:val="39888"/>
                                      </w14:srgbClr>
                                    </w14:solidFill>
                                  </w14:textFill>
                                </w:rPr>
                                <w:t xml:space="preserve">8/F Philippine General Hospital Complex, </w:t>
                              </w:r>
                            </w:p>
                            <w:p>
                              <w:pPr>
                                <w:pStyle w:val="Body"/>
                                <w:jc w:val="right"/>
                              </w:pPr>
                              <w:r>
                                <w:rPr>
                                  <w:rFonts w:ascii="Palatino" w:hAnsi="Palatino"/>
                                  <w:outline w:val="0"/>
                                  <w:color w:val="000000"/>
                                  <w:sz w:val="20"/>
                                  <w:szCs w:val="20"/>
                                  <w:rtl w:val="0"/>
                                  <w:lang w:val="it-IT"/>
                                  <w14:textFill>
                                    <w14:solidFill>
                                      <w14:srgbClr w14:val="000000">
                                        <w14:alpha w14:val="39888"/>
                                      </w14:srgbClr>
                                    </w14:solidFill>
                                  </w14:textFill>
                                </w:rPr>
                                <w:t>Taft Avenue, Manila 1000, Philippines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7" style="visibility:visible;position:absolute;margin-left:72.1pt;margin-top:46.4pt;width:467.9pt;height:86.6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5942440,1099570">
                <w10:wrap type="none" side="bothSides" anchorx="page" anchory="page"/>
                <v:shape id="_x0000_s1028" type="#_x0000_t75" style="position:absolute;left:0;top:0;width:914683;height:914683;">
                  <v:imagedata r:id="rId4" o:title="pasted-image.tiff"/>
                </v:shape>
                <v:shape id="_x0000_s1029" type="#_x0000_t202" style="position:absolute;left:1012553;top:0;width:4928726;height:631455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Body"/>
                          <w:rPr>
                            <w:rFonts w:ascii="Palatino" w:cs="Palatino" w:hAnsi="Palatino" w:eastAsia="Palatino"/>
                            <w:i w:val="1"/>
                            <w:iCs w:val="1"/>
                            <w:outline w:val="0"/>
                            <w:color w:val="000000"/>
                            <w:sz w:val="32"/>
                            <w:szCs w:val="32"/>
                            <w14:textFill>
                              <w14:solidFill>
                                <w14:srgbClr w14:val="000000">
                                  <w14:alpha w14:val="40430"/>
                                </w14:srgbClr>
                              </w14:solidFill>
                            </w14:textFill>
                          </w:rPr>
                        </w:pPr>
                        <w:r>
                          <w:rPr>
                            <w:rFonts w:ascii="Palatino" w:hAnsi="Palatino"/>
                            <w:i w:val="1"/>
                            <w:iCs w:val="1"/>
                            <w:outline w:val="0"/>
                            <w:color w:val="000000"/>
                            <w:sz w:val="32"/>
                            <w:szCs w:val="32"/>
                            <w:rtl w:val="0"/>
                            <w:lang w:val="en-US"/>
                            <w14:textFill>
                              <w14:solidFill>
                                <w14:srgbClr w14:val="000000">
                                  <w14:alpha w14:val="40430"/>
                                </w14:srgbClr>
                              </w14:solidFill>
                            </w14:textFill>
                          </w:rPr>
                          <w:t>LEGAL OFFICE</w:t>
                        </w:r>
                      </w:p>
                      <w:p>
                        <w:pPr>
                          <w:pStyle w:val="Body"/>
                        </w:pPr>
                        <w:r>
                          <w:rPr>
                            <w:rFonts w:ascii="Palatino" w:hAnsi="Palatino"/>
                            <w:sz w:val="34"/>
                            <w:szCs w:val="34"/>
                            <w:rtl w:val="0"/>
                            <w:lang w:val="en-US"/>
                          </w:rPr>
                          <w:t>UNIVERSITY OF THE PHILIPPINES MANILA</w:t>
                        </w:r>
                      </w:p>
                    </w:txbxContent>
                  </v:textbox>
                </v:shape>
                <v:shape id="_x0000_s1030" type="#_x0000_t202" style="position:absolute;left:3212396;top:631455;width:2730044;height:468115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Body"/>
                          <w:jc w:val="right"/>
                          <w:rPr>
                            <w:rFonts w:ascii="Palatino" w:cs="Palatino" w:hAnsi="Palatino" w:eastAsia="Palatino"/>
                            <w:outline w:val="0"/>
                            <w:color w:val="000000"/>
                            <w:sz w:val="20"/>
                            <w:szCs w:val="20"/>
                            <w14:textFill>
                              <w14:solidFill>
                                <w14:srgbClr w14:val="000000">
                                  <w14:alpha w14:val="39888"/>
                                </w14:srgbClr>
                              </w14:solidFill>
                            </w14:textFill>
                          </w:rPr>
                        </w:pPr>
                        <w:r>
                          <w:rPr>
                            <w:rFonts w:ascii="Palatino" w:hAnsi="Palatino"/>
                            <w:outline w:val="0"/>
                            <w:color w:val="000000"/>
                            <w:sz w:val="20"/>
                            <w:szCs w:val="20"/>
                            <w:rtl w:val="0"/>
                            <w:lang w:val="it-IT"/>
                            <w14:textFill>
                              <w14:solidFill>
                                <w14:srgbClr w14:val="000000">
                                  <w14:alpha w14:val="39888"/>
                                </w14:srgbClr>
                              </w14:solidFill>
                            </w14:textFill>
                          </w:rPr>
                          <w:t xml:space="preserve">8/F Philippine General Hospital Complex, </w:t>
                        </w:r>
                      </w:p>
                      <w:p>
                        <w:pPr>
                          <w:pStyle w:val="Body"/>
                          <w:jc w:val="right"/>
                        </w:pPr>
                        <w:r>
                          <w:rPr>
                            <w:rFonts w:ascii="Palatino" w:hAnsi="Palatino"/>
                            <w:outline w:val="0"/>
                            <w:color w:val="000000"/>
                            <w:sz w:val="20"/>
                            <w:szCs w:val="20"/>
                            <w:rtl w:val="0"/>
                            <w:lang w:val="it-IT"/>
                            <w14:textFill>
                              <w14:solidFill>
                                <w14:srgbClr w14:val="000000">
                                  <w14:alpha w14:val="39888"/>
                                </w14:srgbClr>
                              </w14:solidFill>
                            </w14:textFill>
                          </w:rPr>
                          <w:t>Taft Avenue, Manila 1000, Philippines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tl w:val="0"/>
          <w:lang w:val="en-US"/>
        </w:rPr>
        <w:t xml:space="preserve"> Review of the &lt;&lt;title of document being reviewed, e.g. MOU, MOA, Donation etc.&gt;&gt;  with &lt;&lt;name of other party&gt;&gt;</w:t>
      </w:r>
    </w:p>
    <w:p>
      <w:pPr>
        <w:pStyle w:val="Body"/>
        <w:bidi w:val="0"/>
      </w:pPr>
      <w:r>
        <w:rPr>
          <w:rFonts w:cs="Arial Unicode MS" w:eastAsia="Arial Unicode MS"/>
          <w:rtl w:val="0"/>
          <w:lang w:val="en-US"/>
        </w:rPr>
        <w:t>______________________________________________________________________________</w:t>
      </w: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rPr>
          <w:b w:val="1"/>
          <w:bCs w:val="1"/>
          <w:u w:val="single"/>
        </w:rPr>
      </w:pPr>
      <w:r>
        <w:rPr>
          <w:b w:val="1"/>
          <w:bCs w:val="1"/>
          <w:u w:val="single"/>
          <w:rtl w:val="0"/>
          <w:lang w:val="en-US"/>
        </w:rPr>
        <w:t>Background</w:t>
      </w: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spacing w:after="240"/>
      </w:pPr>
      <w:r>
        <w:rPr>
          <w:rtl w:val="0"/>
          <w:lang w:val="en-US"/>
        </w:rPr>
        <w:t>Brief narration of parties, nature of contract and background.</w:t>
      </w: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rPr>
          <w:b w:val="1"/>
          <w:bCs w:val="1"/>
          <w:u w:val="single"/>
        </w:rPr>
      </w:pPr>
      <w:r>
        <w:rPr>
          <w:b w:val="1"/>
          <w:bCs w:val="1"/>
          <w:u w:val="single"/>
          <w:rtl w:val="0"/>
          <w:lang w:val="en-US"/>
        </w:rPr>
        <w:t>Objectives</w:t>
      </w:r>
    </w:p>
    <w:p>
      <w:pPr>
        <w:pStyle w:val="Body"/>
        <w:bidi w:val="0"/>
      </w:pPr>
      <w:r>
        <w:rPr>
          <w:rFonts w:cs="Arial Unicode MS" w:eastAsia="Arial Unicode MS"/>
          <w:rtl w:val="0"/>
          <w:lang w:val="en-US"/>
        </w:rPr>
        <w:t>This &lt;&lt;</w:t>
      </w:r>
      <w:r>
        <w:rPr>
          <w:rFonts w:cs="Arial Unicode MS" w:eastAsia="Arial Unicode MS"/>
          <w:rtl w:val="0"/>
          <w:lang w:val="en-US"/>
        </w:rPr>
        <w:t>title of contract, e.g., MOU, MOA, Donation etc.</w:t>
      </w:r>
      <w:r>
        <w:rPr>
          <w:rFonts w:cs="Arial Unicode MS" w:eastAsia="Arial Unicode MS"/>
          <w:rtl w:val="0"/>
          <w:lang w:val="en-US"/>
        </w:rPr>
        <w:t xml:space="preserve">&gt;&gt; aims </w:t>
      </w:r>
      <w:r>
        <w:rPr>
          <w:rFonts w:cs="Arial Unicode MS" w:eastAsia="Arial Unicode MS"/>
          <w:rtl w:val="0"/>
          <w:lang w:val="en-US"/>
        </w:rPr>
        <w:t xml:space="preserve">to </w:t>
      </w:r>
      <w:r>
        <w:rPr>
          <w:rFonts w:cs="Arial Unicode MS" w:eastAsia="Arial Unicode MS"/>
          <w:rtl w:val="0"/>
          <w:lang w:val="en-US"/>
        </w:rPr>
        <w:t>&lt;&lt;brief description of objective&gt;&gt;.</w:t>
      </w:r>
      <w:r>
        <w:rPr>
          <w:rFonts w:ascii="Optima" w:cs="Optima" w:hAnsi="Optima" w:eastAsia="Optima"/>
          <w:b w:val="0"/>
          <w:bCs w:val="0"/>
          <w:i w:val="0"/>
          <w:iCs w:val="0"/>
          <w:vertAlign w:val="superscript"/>
        </w:rPr>
        <w:footnoteReference w:id="1"/>
      </w:r>
    </w:p>
    <w:p>
      <w:pPr>
        <w:pStyle w:val="Body"/>
        <w:bidi w:val="0"/>
      </w:pP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rPr>
          <w:b w:val="1"/>
          <w:bCs w:val="1"/>
          <w:u w:val="single"/>
        </w:rPr>
      </w:pPr>
      <w:r>
        <w:rPr>
          <w:b w:val="1"/>
          <w:bCs w:val="1"/>
          <w:u w:val="single"/>
          <w:rtl w:val="0"/>
          <w:lang w:val="en-US"/>
        </w:rPr>
        <w:t>Price</w:t>
      </w:r>
    </w:p>
    <w:p>
      <w:pPr>
        <w:pStyle w:val="Body"/>
        <w:bidi w:val="0"/>
      </w:pPr>
      <w:r>
        <w:rPr>
          <w:rFonts w:cs="Arial Unicode MS" w:eastAsia="Arial Unicode MS"/>
          <w:rtl w:val="0"/>
          <w:lang w:val="en-US"/>
        </w:rPr>
        <w:t>Cite amount.</w:t>
      </w:r>
      <w:r>
        <w:rPr>
          <w:rFonts w:ascii="Optima" w:cs="Optima" w:hAnsi="Optima" w:eastAsia="Optima"/>
          <w:b w:val="0"/>
          <w:bCs w:val="0"/>
          <w:i w:val="0"/>
          <w:iCs w:val="0"/>
          <w:vertAlign w:val="superscript"/>
        </w:rPr>
        <w:footnoteReference w:id="2"/>
      </w:r>
    </w:p>
    <w:p>
      <w:pPr>
        <w:pStyle w:val="Body"/>
        <w:bidi w:val="0"/>
      </w:pP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rPr>
          <w:b w:val="1"/>
          <w:bCs w:val="1"/>
          <w:u w:val="single"/>
        </w:rPr>
      </w:pPr>
      <w:r>
        <w:rPr>
          <w:b w:val="1"/>
          <w:bCs w:val="1"/>
          <w:u w:val="single"/>
          <w:rtl w:val="0"/>
          <w:lang w:val="en-US"/>
        </w:rPr>
        <w:t>Funding</w:t>
      </w:r>
    </w:p>
    <w:p>
      <w:pPr>
        <w:pStyle w:val="Body"/>
        <w:bidi w:val="0"/>
      </w:pPr>
      <w:r>
        <w:rPr>
          <w:rFonts w:cs="Arial Unicode MS" w:eastAsia="Arial Unicode MS"/>
          <w:rtl w:val="0"/>
          <w:lang w:val="en-US"/>
        </w:rPr>
        <w:t>Cite documentary source of funding.</w:t>
      </w:r>
      <w:r>
        <w:rPr>
          <w:rFonts w:ascii="Optima" w:cs="Optima" w:hAnsi="Optima" w:eastAsia="Optima"/>
          <w:b w:val="0"/>
          <w:bCs w:val="0"/>
          <w:i w:val="0"/>
          <w:iCs w:val="0"/>
          <w:vertAlign w:val="superscript"/>
        </w:rPr>
        <w:footnoteReference w:id="3"/>
      </w:r>
    </w:p>
    <w:p>
      <w:pPr>
        <w:pStyle w:val="Body"/>
        <w:bidi w:val="0"/>
      </w:pP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rPr>
          <w:b w:val="1"/>
          <w:bCs w:val="1"/>
          <w:u w:val="single"/>
        </w:rPr>
      </w:pPr>
      <w:r>
        <w:rPr>
          <w:b w:val="1"/>
          <w:bCs w:val="1"/>
          <w:u w:val="single"/>
          <w:rtl w:val="0"/>
          <w:lang w:val="en-US"/>
        </w:rPr>
        <w:t>Duration</w:t>
      </w:r>
    </w:p>
    <w:p>
      <w:pPr>
        <w:pStyle w:val="Body"/>
        <w:bidi w:val="0"/>
      </w:pPr>
      <w:r>
        <w:rPr>
          <w:rFonts w:cs="Arial Unicode MS" w:eastAsia="Arial Unicode MS"/>
          <w:rtl w:val="0"/>
          <w:lang w:val="en-US"/>
        </w:rPr>
        <w:t>&lt;&lt;duration of contract, etc.&gt;&gt;</w:t>
      </w:r>
      <w:r>
        <w:rPr>
          <w:rFonts w:ascii="Optima" w:cs="Optima" w:hAnsi="Optima" w:eastAsia="Optima"/>
          <w:b w:val="0"/>
          <w:bCs w:val="0"/>
          <w:i w:val="0"/>
          <w:iCs w:val="0"/>
          <w:vertAlign w:val="superscript"/>
        </w:rPr>
        <w:footnoteReference w:id="4"/>
      </w:r>
    </w:p>
    <w:p>
      <w:pPr>
        <w:pStyle w:val="Body"/>
        <w:bidi w:val="0"/>
      </w:pP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rPr>
          <w:b w:val="1"/>
          <w:bCs w:val="1"/>
          <w:u w:val="single"/>
        </w:rPr>
      </w:pPr>
      <w:r>
        <w:rPr>
          <w:b w:val="1"/>
          <w:bCs w:val="1"/>
          <w:u w:val="single"/>
          <w:rtl w:val="0"/>
          <w:lang w:val="en-US"/>
        </w:rPr>
        <w:t>Other terms and conditions of significance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Fonts w:cs="Arial Unicode MS" w:eastAsia="Arial Unicode MS"/>
          <w:rtl w:val="0"/>
          <w:lang w:val="en-US"/>
        </w:rPr>
        <w:t>&lt;&lt;Comments/summary&gt;&gt;</w:t>
      </w:r>
      <w:r>
        <w:rPr>
          <w:rFonts w:ascii="Optima" w:cs="Optima" w:hAnsi="Optima" w:eastAsia="Optima"/>
          <w:b w:val="0"/>
          <w:bCs w:val="0"/>
          <w:i w:val="0"/>
          <w:iCs w:val="0"/>
          <w:vertAlign w:val="superscript"/>
        </w:rPr>
        <w:footnoteReference w:id="5"/>
      </w:r>
    </w:p>
    <w:p>
      <w:pPr>
        <w:pStyle w:val="Body"/>
        <w:bidi w:val="0"/>
      </w:pPr>
    </w:p>
    <w:p>
      <w:pPr>
        <w:pStyle w:val="Body"/>
        <w:bidi w:val="0"/>
      </w:pPr>
      <w:r>
        <w:rPr>
          <w:rFonts w:cs="Arial Unicode MS" w:eastAsia="Arial Unicode MS"/>
          <w:rtl w:val="0"/>
          <w:lang w:val="en-US"/>
        </w:rPr>
        <w:t>E.g., for procurement contracts:</w:t>
      </w:r>
    </w:p>
    <w:p>
      <w:pPr>
        <w:pStyle w:val="Body"/>
        <w:bidi w:val="0"/>
      </w:pPr>
    </w:p>
    <w:p>
      <w:pPr>
        <w:pStyle w:val="Body"/>
        <w:numPr>
          <w:ilvl w:val="0"/>
          <w:numId w:val="1"/>
        </w:numPr>
        <w:bidi w:val="0"/>
      </w:pPr>
      <w:r>
        <w:rPr>
          <w:rFonts w:cs="Arial Unicode MS" w:eastAsia="Arial Unicode MS"/>
          <w:b w:val="1"/>
          <w:bCs w:val="1"/>
          <w:u w:val="single"/>
          <w:rtl w:val="0"/>
          <w:lang w:val="en-US"/>
        </w:rPr>
        <w:t>Mode of procurement</w:t>
      </w:r>
      <w:r>
        <w:rPr>
          <w:rFonts w:cs="Arial Unicode MS" w:eastAsia="Arial Unicode MS"/>
          <w:rtl w:val="0"/>
          <w:lang w:val="en-US"/>
        </w:rPr>
        <w:t>, the justification of the mode of procurement and legal basis.</w:t>
      </w:r>
    </w:p>
    <w:p>
      <w:pPr>
        <w:pStyle w:val="Body"/>
        <w:numPr>
          <w:ilvl w:val="0"/>
          <w:numId w:val="2"/>
        </w:numPr>
        <w:rPr>
          <w:b w:val="1"/>
          <w:bCs w:val="1"/>
          <w:u w:val="single"/>
          <w:lang w:val="en-US"/>
        </w:rPr>
      </w:pPr>
      <w:r>
        <w:rPr>
          <w:b w:val="1"/>
          <w:bCs w:val="1"/>
          <w:u w:val="single"/>
          <w:rtl w:val="0"/>
          <w:lang w:val="en-US"/>
        </w:rPr>
        <w:t>ABC and Bid price</w:t>
      </w:r>
    </w:p>
    <w:p>
      <w:pPr>
        <w:pStyle w:val="Body"/>
        <w:numPr>
          <w:ilvl w:val="0"/>
          <w:numId w:val="2"/>
        </w:numPr>
        <w:rPr>
          <w:b w:val="1"/>
          <w:bCs w:val="1"/>
          <w:u w:val="single"/>
          <w:lang w:val="en-US"/>
        </w:rPr>
      </w:pPr>
      <w:r>
        <w:rPr>
          <w:b w:val="1"/>
          <w:bCs w:val="1"/>
          <w:u w:val="single"/>
          <w:rtl w:val="0"/>
          <w:lang w:val="en-US"/>
        </w:rPr>
        <w:t>Dates of publication, prebid conference, BAC Resolution and Notice of Award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rPr>
          <w:b w:val="0"/>
          <w:bCs w:val="0"/>
          <w:u w:val="none"/>
        </w:rPr>
      </w:pPr>
      <w:r>
        <w:rPr>
          <w:b w:val="1"/>
          <w:bCs w:val="1"/>
          <w:u w:val="single"/>
          <w:rtl w:val="0"/>
          <w:lang w:val="en-US"/>
        </w:rPr>
        <w:t>Legal basis for approving and signing the contract</w:t>
      </w:r>
      <w:r>
        <w:rPr>
          <w:b w:val="0"/>
          <w:bCs w:val="0"/>
          <w:u w:val="none"/>
          <w:rtl w:val="0"/>
          <w:lang w:val="en-US"/>
        </w:rPr>
        <w:t>. &lt;&lt;choose whichever is applicable&gt;&gt;</w:t>
      </w: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rPr>
          <w:b w:val="1"/>
          <w:bCs w:val="1"/>
          <w:u w:val="single"/>
        </w:rPr>
      </w:pPr>
    </w:p>
    <w:p>
      <w:pPr>
        <w:pStyle w:val="Body"/>
        <w:bidi w:val="0"/>
      </w:pPr>
      <w:r>
        <w:rPr>
          <w:rFonts w:cs="Arial Unicode MS" w:eastAsia="Arial Unicode MS"/>
          <w:rtl w:val="0"/>
          <w:lang w:val="en-US"/>
        </w:rPr>
        <w:t>Contracting with local or foreign institutions is a delegated authority to Chancellors provided that such agreements do not involve any additional and special budgetary outlay on the part of UP Manila.</w:t>
      </w:r>
      <w:r>
        <w:rPr>
          <w:rFonts w:ascii="Optima" w:cs="Optima" w:hAnsi="Optima" w:eastAsia="Optima"/>
          <w:b w:val="0"/>
          <w:bCs w:val="0"/>
          <w:i w:val="0"/>
          <w:iCs w:val="0"/>
          <w:vertAlign w:val="superscript"/>
        </w:rPr>
        <w:footnoteReference w:id="6"/>
      </w:r>
    </w:p>
    <w:p>
      <w:pPr>
        <w:pStyle w:val="Body"/>
        <w:bidi w:val="0"/>
      </w:pPr>
    </w:p>
    <w:p>
      <w:pPr>
        <w:pStyle w:val="Body"/>
        <w:bidi w:val="0"/>
      </w:pPr>
      <w:r>
        <w:rPr>
          <w:rFonts w:cs="Arial Unicode MS" w:eastAsia="Arial Unicode MS"/>
          <w:rtl w:val="0"/>
          <w:lang w:val="en-US"/>
        </w:rPr>
        <w:t>The contract is within the signing authority of the Chancellor.</w:t>
      </w:r>
      <w:r>
        <w:rPr>
          <w:rFonts w:ascii="Optima" w:cs="Optima" w:hAnsi="Optima" w:eastAsia="Optima"/>
          <w:b w:val="0"/>
          <w:bCs w:val="0"/>
          <w:i w:val="0"/>
          <w:iCs w:val="0"/>
          <w:vertAlign w:val="superscript"/>
        </w:rPr>
        <w:footnoteReference w:id="7"/>
      </w: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spacing w:before="280" w:after="180"/>
      </w:pPr>
      <w:r>
        <w:rPr>
          <w:rtl w:val="0"/>
          <w:lang w:val="en-US"/>
        </w:rPr>
        <w:t>We are endorsing the &lt;&lt; title of document being reviewed&gt;&gt; for your approval and signature.</w:t>
      </w: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spacing w:before="280" w:after="180"/>
      </w:pPr>
      <w:r>
        <w:rPr>
          <w:rtl w:val="0"/>
          <w:lang w:val="en-US"/>
        </w:rPr>
        <w:t>Very truly yours,</w:t>
      </w: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spacing w:before="280" w:after="180"/>
      </w:pPr>
      <w:r>
        <w:rPr>
          <w:rtl w:val="0"/>
          <w:lang w:val="en-US"/>
        </w:rPr>
        <w:t>&lt;name of reviewing lawyer&gt;  Atty. Nario or Atty. Tagoc</w:t>
      </w:r>
    </w:p>
    <w:p>
      <w:pPr>
        <w:pStyle w:val="Body"/>
        <w:bidi w:val="0"/>
      </w:pPr>
      <w:r>
        <w:rPr>
          <w:rFonts w:cs="Arial Unicode MS" w:eastAsia="Arial Unicode MS"/>
          <w:rtl w:val="0"/>
          <w:lang w:val="en-US"/>
        </w:rPr>
        <w:t>ATTY. VINCENT S. TAGOC</w:t>
      </w:r>
    </w:p>
    <w:p>
      <w:pPr>
        <w:pStyle w:val="Body"/>
        <w:bidi w:val="0"/>
      </w:pPr>
      <w:r>
        <w:rPr>
          <w:rFonts w:cs="Arial Unicode MS" w:eastAsia="Arial Unicode MS"/>
          <w:rtl w:val="0"/>
          <w:lang w:val="en-US"/>
        </w:rPr>
        <w:t>University Counsel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Fonts w:cs="Arial Unicode MS" w:eastAsia="Arial Unicode MS"/>
          <w:rtl w:val="0"/>
          <w:lang w:val="en-US"/>
        </w:rPr>
        <w:t>ATTY. RUEL S. NARIO</w:t>
      </w:r>
    </w:p>
    <w:p>
      <w:pPr>
        <w:pStyle w:val="Body"/>
        <w:bidi w:val="0"/>
      </w:pPr>
      <w:r>
        <w:rPr>
          <w:rFonts w:cs="Arial Unicode MS" w:eastAsia="Arial Unicode MS"/>
          <w:rtl w:val="0"/>
          <w:lang w:val="en-US"/>
        </w:rPr>
        <w:t>University Counsel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Fonts w:cs="Arial Unicode MS" w:eastAsia="Arial Unicode MS"/>
          <w:rtl w:val="0"/>
          <w:lang w:val="en-US"/>
        </w:rPr>
        <w:t>ATTY. JAMES DENNIS C. GUMPAL</w:t>
      </w:r>
    </w:p>
    <w:p>
      <w:pPr>
        <w:pStyle w:val="Body"/>
        <w:bidi w:val="0"/>
      </w:pPr>
      <w:r>
        <w:rPr>
          <w:rFonts w:cs="Arial Unicode MS" w:eastAsia="Arial Unicode MS"/>
          <w:rtl w:val="0"/>
          <w:lang w:val="en-US"/>
        </w:rPr>
        <w:t>Chief Legal Officer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  <w:rPr>
          <w:caps w:val="1"/>
        </w:rPr>
      </w:pPr>
    </w:p>
    <w:p>
      <w:pPr>
        <w:pStyle w:val="Body"/>
        <w:tabs>
          <w:tab w:val="left" w:pos="283"/>
          <w:tab w:val="left" w:pos="566"/>
          <w:tab w:val="left" w:pos="849"/>
          <w:tab w:val="left" w:pos="1132"/>
          <w:tab w:val="left" w:pos="1415"/>
          <w:tab w:val="left" w:pos="1698"/>
          <w:tab w:val="left" w:pos="1981"/>
          <w:tab w:val="left" w:pos="2264"/>
          <w:tab w:val="left" w:pos="2547"/>
          <w:tab w:val="left" w:pos="2830"/>
          <w:tab w:val="left" w:pos="3113"/>
          <w:tab w:val="left" w:pos="3396"/>
          <w:tab w:val="left" w:pos="3679"/>
          <w:tab w:val="left" w:pos="3962"/>
          <w:tab w:val="left" w:pos="4245"/>
          <w:tab w:val="left" w:pos="4528"/>
          <w:tab w:val="left" w:pos="4811"/>
          <w:tab w:val="left" w:pos="5094"/>
          <w:tab w:val="left" w:pos="5377"/>
          <w:tab w:val="left" w:pos="5660"/>
          <w:tab w:val="left" w:pos="5943"/>
          <w:tab w:val="left" w:pos="6226"/>
          <w:tab w:val="left" w:pos="6509"/>
          <w:tab w:val="left" w:pos="6792"/>
          <w:tab w:val="left" w:pos="7075"/>
          <w:tab w:val="left" w:pos="7358"/>
          <w:tab w:val="left" w:pos="7641"/>
          <w:tab w:val="left" w:pos="7924"/>
          <w:tab w:val="left" w:pos="8207"/>
          <w:tab w:val="left" w:pos="8490"/>
          <w:tab w:val="left" w:pos="8773"/>
          <w:tab w:val="left" w:pos="9056"/>
          <w:tab w:val="left" w:pos="9339"/>
        </w:tabs>
      </w:pPr>
      <w:r>
        <w:rPr>
          <w:rFonts w:ascii="Avenir Next Regular" w:cs="Avenir Next Regular" w:hAnsi="Avenir Next Regular" w:eastAsia="Avenir Next Regular"/>
        </w:rPr>
      </w:r>
    </w:p>
    <w:sectPr>
      <w:headerReference w:type="default" r:id="rId5"/>
      <w:footerReference w:type="default" r:id="rId6"/>
      <w:pgSz w:w="12240" w:h="18720" w:orient="portrait"/>
      <w:pgMar w:top="288" w:right="1440" w:bottom="1440" w:left="1440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Avenir Next Condensed Regular">
    <w:charset w:val="00"/>
    <w:family w:val="roman"/>
    <w:pitch w:val="default"/>
  </w:font>
  <w:font w:name="Optima">
    <w:charset w:val="00"/>
    <w:family w:val="roman"/>
    <w:pitch w:val="default"/>
  </w:font>
  <w:font w:name="Iowan Old Style Roman">
    <w:charset w:val="00"/>
    <w:family w:val="roman"/>
    <w:pitch w:val="default"/>
  </w:font>
  <w:font w:name="Damascus Regular">
    <w:charset w:val="00"/>
    <w:family w:val="roman"/>
    <w:pitch w:val="default"/>
  </w:font>
  <w:font w:name="Avenir Next Regular">
    <w:charset w:val="00"/>
    <w:family w:val="roman"/>
    <w:pitch w:val="default"/>
  </w:font>
  <w:font w:name="Palatino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footnotes.xml><?xml version="1.0" encoding="utf-8"?>
<w:footnot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m="http://schemas.openxmlformats.org/officeDocument/2006/math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type="continuationNotice" w:id="-2">
    <w:p>
      <w:r>
        <w:t/>
      </w:r>
    </w:p>
  </w:footnote>
  <w:footnote w:id="1">
    <w:p>
      <w:pPr>
        <w:pStyle w:val="Footnote"/>
        <w:bidi w:val="0"/>
      </w:pPr>
      <w:r>
        <w:rPr>
          <w:vertAlign w:val="superscript"/>
        </w:rPr>
        <w:footnoteRef/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  <w:lang w:val="en-US"/>
        </w:rPr>
        <w:t xml:space="preserve">Cite </w:t>
      </w:r>
      <w:r>
        <w:rPr>
          <w:rFonts w:cs="Arial Unicode MS" w:eastAsia="Arial Unicode MS"/>
          <w:rtl w:val="0"/>
          <w:lang w:val="en-US"/>
        </w:rPr>
        <w:t>Paragraph and page of the document being reviewed.</w:t>
      </w:r>
    </w:p>
  </w:footnote>
  <w:footnote w:id="2">
    <w:p>
      <w:pPr>
        <w:pStyle w:val="Footnote"/>
        <w:bidi w:val="0"/>
      </w:pPr>
      <w:r>
        <w:rPr>
          <w:vertAlign w:val="superscript"/>
        </w:rPr>
        <w:footnoteRef/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  <w:lang w:val="en-US"/>
        </w:rPr>
        <w:t>Cite Paragraph and page of the document being reviewed.</w:t>
      </w:r>
    </w:p>
  </w:footnote>
  <w:footnote w:id="3">
    <w:p>
      <w:pPr>
        <w:pStyle w:val="Footnote"/>
        <w:bidi w:val="0"/>
      </w:pPr>
      <w:r>
        <w:rPr>
          <w:vertAlign w:val="superscript"/>
        </w:rPr>
        <w:footnoteRef/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  <w:lang w:val="en-US"/>
        </w:rPr>
        <w:t>Cite Paragraph and page of the document being reviewed.</w:t>
      </w:r>
    </w:p>
  </w:footnote>
  <w:footnote w:id="4">
    <w:p>
      <w:pPr>
        <w:pStyle w:val="Footnote"/>
        <w:bidi w:val="0"/>
      </w:pPr>
      <w:r>
        <w:rPr>
          <w:vertAlign w:val="superscript"/>
        </w:rPr>
        <w:footnoteRef/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  <w:lang w:val="en-US"/>
        </w:rPr>
        <w:t>Cite Paragraph and page of the document being reviewed.</w:t>
      </w:r>
    </w:p>
  </w:footnote>
  <w:footnote w:id="5">
    <w:p>
      <w:pPr>
        <w:pStyle w:val="Footnote"/>
        <w:bidi w:val="0"/>
      </w:pPr>
      <w:r>
        <w:rPr>
          <w:vertAlign w:val="superscript"/>
        </w:rPr>
        <w:footnoteRef/>
      </w:r>
      <w:r>
        <w:rPr>
          <w:rFonts w:cs="Arial Unicode MS" w:eastAsia="Arial Unicode MS"/>
          <w:rtl w:val="0"/>
          <w:lang w:val="en-US"/>
        </w:rPr>
        <w:t xml:space="preserve"> Cite Paragraph and page of the document being reviewed.</w:t>
      </w:r>
    </w:p>
  </w:footnote>
  <w:footnote w:id="6">
    <w:p>
      <w:pPr>
        <w:pStyle w:val="Footnote"/>
        <w:bidi w:val="0"/>
      </w:pPr>
      <w:r>
        <w:rPr>
          <w:vertAlign w:val="superscript"/>
        </w:rPr>
        <w:footnoteRef/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  <w:lang w:val="en-US"/>
        </w:rPr>
        <w:t>No. 16.1 of the UP Handbook on Delegation of Authority (987</w:t>
      </w:r>
      <w:r>
        <w:rPr>
          <w:rFonts w:cs="Arial Unicode MS" w:eastAsia="Arial Unicode MS"/>
          <w:vertAlign w:val="superscript"/>
          <w:rtl w:val="0"/>
          <w:lang w:val="en-US"/>
        </w:rPr>
        <w:t>th</w:t>
      </w:r>
      <w:r>
        <w:rPr>
          <w:rFonts w:cs="Arial Unicode MS" w:eastAsia="Arial Unicode MS"/>
          <w:rtl w:val="0"/>
          <w:lang w:val="en-US"/>
        </w:rPr>
        <w:t xml:space="preserve"> BOR Meeting, 4/24/86).</w:t>
      </w:r>
    </w:p>
  </w:footnote>
  <w:footnote w:id="7">
    <w:p>
      <w:pPr>
        <w:pStyle w:val="Footnote"/>
        <w:bidi w:val="0"/>
      </w:pPr>
      <w:r>
        <w:rPr>
          <w:vertAlign w:val="superscript"/>
        </w:rPr>
        <w:footnoteRef/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  <w:lang w:val="en-US"/>
        </w:rPr>
        <w:t>Cite basis of the signing authority.</w:t>
      </w:r>
    </w:p>
  </w:footnote>
</w:footnotes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Fonts w:ascii="Avenir Next Condensed Regular" w:hAnsi="Avenir Next Condensed Regular"/>
        <w:outline w:val="0"/>
        <w:color w:val="919191"/>
        <w:sz w:val="16"/>
        <w:szCs w:val="16"/>
        <w:rtl w:val="0"/>
        <w:lang w:val="en-US"/>
        <w14:textFill>
          <w14:solidFill>
            <w14:srgbClr w14:val="919191"/>
          </w14:solidFill>
        </w14:textFill>
      </w:rPr>
      <w:tab/>
      <w:tab/>
      <w:t>UPMLO Form No. 016 Legal Review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bullet"/>
      <w:suff w:val="tab"/>
      <w:lvlText w:val="•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tabs>
            <w:tab w:val="left" w:pos="566"/>
            <w:tab w:val="left" w:pos="849"/>
            <w:tab w:val="left" w:pos="1132"/>
            <w:tab w:val="left" w:pos="1415"/>
            <w:tab w:val="left" w:pos="1698"/>
            <w:tab w:val="left" w:pos="1981"/>
            <w:tab w:val="left" w:pos="2264"/>
            <w:tab w:val="left" w:pos="2547"/>
            <w:tab w:val="left" w:pos="2830"/>
            <w:tab w:val="left" w:pos="3113"/>
            <w:tab w:val="left" w:pos="3396"/>
            <w:tab w:val="left" w:pos="3679"/>
            <w:tab w:val="left" w:pos="3962"/>
            <w:tab w:val="left" w:pos="4245"/>
            <w:tab w:val="left" w:pos="4528"/>
            <w:tab w:val="left" w:pos="4811"/>
            <w:tab w:val="left" w:pos="5094"/>
            <w:tab w:val="left" w:pos="5377"/>
            <w:tab w:val="left" w:pos="5660"/>
            <w:tab w:val="left" w:pos="5943"/>
            <w:tab w:val="left" w:pos="6226"/>
            <w:tab w:val="left" w:pos="6509"/>
            <w:tab w:val="left" w:pos="6792"/>
            <w:tab w:val="left" w:pos="7075"/>
            <w:tab w:val="left" w:pos="7358"/>
            <w:tab w:val="left" w:pos="7641"/>
            <w:tab w:val="left" w:pos="7924"/>
            <w:tab w:val="left" w:pos="8207"/>
            <w:tab w:val="left" w:pos="8490"/>
            <w:tab w:val="left" w:pos="8773"/>
            <w:tab w:val="left" w:pos="9056"/>
            <w:tab w:val="left" w:pos="9339"/>
          </w:tabs>
          <w:ind w:left="36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283"/>
            <w:tab w:val="left" w:pos="566"/>
            <w:tab w:val="left" w:pos="849"/>
            <w:tab w:val="left" w:pos="1132"/>
            <w:tab w:val="left" w:pos="1415"/>
            <w:tab w:val="left" w:pos="1698"/>
            <w:tab w:val="left" w:pos="1981"/>
            <w:tab w:val="left" w:pos="2264"/>
            <w:tab w:val="left" w:pos="2547"/>
            <w:tab w:val="left" w:pos="2830"/>
            <w:tab w:val="left" w:pos="3113"/>
            <w:tab w:val="left" w:pos="3396"/>
            <w:tab w:val="left" w:pos="3679"/>
            <w:tab w:val="left" w:pos="3962"/>
            <w:tab w:val="left" w:pos="4245"/>
            <w:tab w:val="left" w:pos="4528"/>
            <w:tab w:val="left" w:pos="4811"/>
            <w:tab w:val="left" w:pos="5094"/>
            <w:tab w:val="left" w:pos="5377"/>
            <w:tab w:val="left" w:pos="5660"/>
            <w:tab w:val="left" w:pos="5943"/>
            <w:tab w:val="left" w:pos="6226"/>
            <w:tab w:val="left" w:pos="6509"/>
            <w:tab w:val="left" w:pos="6792"/>
            <w:tab w:val="left" w:pos="7075"/>
            <w:tab w:val="left" w:pos="7358"/>
            <w:tab w:val="left" w:pos="7641"/>
            <w:tab w:val="left" w:pos="7924"/>
            <w:tab w:val="left" w:pos="8207"/>
            <w:tab w:val="left" w:pos="8490"/>
            <w:tab w:val="left" w:pos="8773"/>
            <w:tab w:val="left" w:pos="9056"/>
            <w:tab w:val="left" w:pos="9339"/>
          </w:tabs>
          <w:ind w:left="108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283"/>
            <w:tab w:val="left" w:pos="566"/>
            <w:tab w:val="left" w:pos="849"/>
            <w:tab w:val="left" w:pos="1132"/>
            <w:tab w:val="left" w:pos="1415"/>
            <w:tab w:val="left" w:pos="1981"/>
            <w:tab w:val="left" w:pos="2264"/>
            <w:tab w:val="left" w:pos="2547"/>
            <w:tab w:val="left" w:pos="2830"/>
            <w:tab w:val="left" w:pos="3113"/>
            <w:tab w:val="left" w:pos="3396"/>
            <w:tab w:val="left" w:pos="3679"/>
            <w:tab w:val="left" w:pos="3962"/>
            <w:tab w:val="left" w:pos="4245"/>
            <w:tab w:val="left" w:pos="4528"/>
            <w:tab w:val="left" w:pos="4811"/>
            <w:tab w:val="left" w:pos="5094"/>
            <w:tab w:val="left" w:pos="5377"/>
            <w:tab w:val="left" w:pos="5660"/>
            <w:tab w:val="left" w:pos="5943"/>
            <w:tab w:val="left" w:pos="6226"/>
            <w:tab w:val="left" w:pos="6509"/>
            <w:tab w:val="left" w:pos="6792"/>
            <w:tab w:val="left" w:pos="7075"/>
            <w:tab w:val="left" w:pos="7358"/>
            <w:tab w:val="left" w:pos="7641"/>
            <w:tab w:val="left" w:pos="7924"/>
            <w:tab w:val="left" w:pos="8207"/>
            <w:tab w:val="left" w:pos="8490"/>
            <w:tab w:val="left" w:pos="8773"/>
            <w:tab w:val="left" w:pos="9056"/>
            <w:tab w:val="left" w:pos="9339"/>
          </w:tabs>
          <w:ind w:left="180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283"/>
            <w:tab w:val="left" w:pos="566"/>
            <w:tab w:val="left" w:pos="849"/>
            <w:tab w:val="left" w:pos="1132"/>
            <w:tab w:val="left" w:pos="1415"/>
            <w:tab w:val="left" w:pos="1698"/>
            <w:tab w:val="left" w:pos="1981"/>
            <w:tab w:val="left" w:pos="2264"/>
            <w:tab w:val="left" w:pos="2547"/>
            <w:tab w:val="left" w:pos="2830"/>
            <w:tab w:val="left" w:pos="3113"/>
            <w:tab w:val="left" w:pos="3396"/>
            <w:tab w:val="left" w:pos="3679"/>
            <w:tab w:val="left" w:pos="3962"/>
            <w:tab w:val="left" w:pos="4245"/>
            <w:tab w:val="left" w:pos="4528"/>
            <w:tab w:val="left" w:pos="4811"/>
            <w:tab w:val="left" w:pos="5094"/>
            <w:tab w:val="left" w:pos="5377"/>
            <w:tab w:val="left" w:pos="5660"/>
            <w:tab w:val="left" w:pos="5943"/>
            <w:tab w:val="left" w:pos="6226"/>
            <w:tab w:val="left" w:pos="6509"/>
            <w:tab w:val="left" w:pos="6792"/>
            <w:tab w:val="left" w:pos="7075"/>
            <w:tab w:val="left" w:pos="7358"/>
            <w:tab w:val="left" w:pos="7641"/>
            <w:tab w:val="left" w:pos="7924"/>
            <w:tab w:val="left" w:pos="8207"/>
            <w:tab w:val="left" w:pos="8490"/>
            <w:tab w:val="left" w:pos="8773"/>
            <w:tab w:val="left" w:pos="9056"/>
            <w:tab w:val="left" w:pos="9339"/>
          </w:tabs>
          <w:ind w:left="252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283"/>
            <w:tab w:val="left" w:pos="566"/>
            <w:tab w:val="left" w:pos="849"/>
            <w:tab w:val="left" w:pos="1132"/>
            <w:tab w:val="left" w:pos="1415"/>
            <w:tab w:val="left" w:pos="1698"/>
            <w:tab w:val="left" w:pos="1981"/>
            <w:tab w:val="left" w:pos="2264"/>
            <w:tab w:val="left" w:pos="2547"/>
            <w:tab w:val="left" w:pos="2830"/>
            <w:tab w:val="left" w:pos="3396"/>
            <w:tab w:val="left" w:pos="3679"/>
            <w:tab w:val="left" w:pos="3962"/>
            <w:tab w:val="left" w:pos="4245"/>
            <w:tab w:val="left" w:pos="4528"/>
            <w:tab w:val="left" w:pos="4811"/>
            <w:tab w:val="left" w:pos="5094"/>
            <w:tab w:val="left" w:pos="5377"/>
            <w:tab w:val="left" w:pos="5660"/>
            <w:tab w:val="left" w:pos="5943"/>
            <w:tab w:val="left" w:pos="6226"/>
            <w:tab w:val="left" w:pos="6509"/>
            <w:tab w:val="left" w:pos="6792"/>
            <w:tab w:val="left" w:pos="7075"/>
            <w:tab w:val="left" w:pos="7358"/>
            <w:tab w:val="left" w:pos="7641"/>
            <w:tab w:val="left" w:pos="7924"/>
            <w:tab w:val="left" w:pos="8207"/>
            <w:tab w:val="left" w:pos="8490"/>
            <w:tab w:val="left" w:pos="8773"/>
            <w:tab w:val="left" w:pos="9056"/>
            <w:tab w:val="left" w:pos="9339"/>
          </w:tabs>
          <w:ind w:left="324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283"/>
            <w:tab w:val="left" w:pos="566"/>
            <w:tab w:val="left" w:pos="849"/>
            <w:tab w:val="left" w:pos="1132"/>
            <w:tab w:val="left" w:pos="1415"/>
            <w:tab w:val="left" w:pos="1698"/>
            <w:tab w:val="left" w:pos="1981"/>
            <w:tab w:val="left" w:pos="2264"/>
            <w:tab w:val="left" w:pos="2547"/>
            <w:tab w:val="left" w:pos="2830"/>
            <w:tab w:val="left" w:pos="3113"/>
            <w:tab w:val="left" w:pos="3396"/>
            <w:tab w:val="left" w:pos="3679"/>
            <w:tab w:val="left" w:pos="3962"/>
            <w:tab w:val="left" w:pos="4245"/>
            <w:tab w:val="left" w:pos="4528"/>
            <w:tab w:val="left" w:pos="4811"/>
            <w:tab w:val="left" w:pos="5094"/>
            <w:tab w:val="left" w:pos="5377"/>
            <w:tab w:val="left" w:pos="5660"/>
            <w:tab w:val="left" w:pos="5943"/>
            <w:tab w:val="left" w:pos="6226"/>
            <w:tab w:val="left" w:pos="6509"/>
            <w:tab w:val="left" w:pos="6792"/>
            <w:tab w:val="left" w:pos="7075"/>
            <w:tab w:val="left" w:pos="7358"/>
            <w:tab w:val="left" w:pos="7641"/>
            <w:tab w:val="left" w:pos="7924"/>
            <w:tab w:val="left" w:pos="8207"/>
            <w:tab w:val="left" w:pos="8490"/>
            <w:tab w:val="left" w:pos="8773"/>
            <w:tab w:val="left" w:pos="9056"/>
            <w:tab w:val="left" w:pos="9339"/>
          </w:tabs>
          <w:ind w:left="396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283"/>
            <w:tab w:val="left" w:pos="566"/>
            <w:tab w:val="left" w:pos="849"/>
            <w:tab w:val="left" w:pos="1132"/>
            <w:tab w:val="left" w:pos="1415"/>
            <w:tab w:val="left" w:pos="1698"/>
            <w:tab w:val="left" w:pos="1981"/>
            <w:tab w:val="left" w:pos="2264"/>
            <w:tab w:val="left" w:pos="2547"/>
            <w:tab w:val="left" w:pos="2830"/>
            <w:tab w:val="left" w:pos="3113"/>
            <w:tab w:val="left" w:pos="3396"/>
            <w:tab w:val="left" w:pos="3679"/>
            <w:tab w:val="left" w:pos="3962"/>
            <w:tab w:val="left" w:pos="4245"/>
            <w:tab w:val="left" w:pos="4811"/>
            <w:tab w:val="left" w:pos="5094"/>
            <w:tab w:val="left" w:pos="5377"/>
            <w:tab w:val="left" w:pos="5660"/>
            <w:tab w:val="left" w:pos="5943"/>
            <w:tab w:val="left" w:pos="6226"/>
            <w:tab w:val="left" w:pos="6509"/>
            <w:tab w:val="left" w:pos="6792"/>
            <w:tab w:val="left" w:pos="7075"/>
            <w:tab w:val="left" w:pos="7358"/>
            <w:tab w:val="left" w:pos="7641"/>
            <w:tab w:val="left" w:pos="7924"/>
            <w:tab w:val="left" w:pos="8207"/>
            <w:tab w:val="left" w:pos="8490"/>
            <w:tab w:val="left" w:pos="8773"/>
            <w:tab w:val="left" w:pos="9056"/>
            <w:tab w:val="left" w:pos="9339"/>
          </w:tabs>
          <w:ind w:left="468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283"/>
            <w:tab w:val="left" w:pos="566"/>
            <w:tab w:val="left" w:pos="849"/>
            <w:tab w:val="left" w:pos="1132"/>
            <w:tab w:val="left" w:pos="1415"/>
            <w:tab w:val="left" w:pos="1698"/>
            <w:tab w:val="left" w:pos="1981"/>
            <w:tab w:val="left" w:pos="2264"/>
            <w:tab w:val="left" w:pos="2547"/>
            <w:tab w:val="left" w:pos="2830"/>
            <w:tab w:val="left" w:pos="3113"/>
            <w:tab w:val="left" w:pos="3396"/>
            <w:tab w:val="left" w:pos="3679"/>
            <w:tab w:val="left" w:pos="3962"/>
            <w:tab w:val="left" w:pos="4245"/>
            <w:tab w:val="left" w:pos="4528"/>
            <w:tab w:val="left" w:pos="4811"/>
            <w:tab w:val="left" w:pos="5094"/>
            <w:tab w:val="left" w:pos="5660"/>
            <w:tab w:val="left" w:pos="5943"/>
            <w:tab w:val="left" w:pos="6226"/>
            <w:tab w:val="left" w:pos="6509"/>
            <w:tab w:val="left" w:pos="6792"/>
            <w:tab w:val="left" w:pos="7075"/>
            <w:tab w:val="left" w:pos="7358"/>
            <w:tab w:val="left" w:pos="7641"/>
            <w:tab w:val="left" w:pos="7924"/>
            <w:tab w:val="left" w:pos="8207"/>
            <w:tab w:val="left" w:pos="8490"/>
            <w:tab w:val="left" w:pos="8773"/>
            <w:tab w:val="left" w:pos="9056"/>
            <w:tab w:val="left" w:pos="9339"/>
          </w:tabs>
          <w:ind w:left="540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283"/>
            <w:tab w:val="left" w:pos="566"/>
            <w:tab w:val="left" w:pos="849"/>
            <w:tab w:val="left" w:pos="1132"/>
            <w:tab w:val="left" w:pos="1415"/>
            <w:tab w:val="left" w:pos="1698"/>
            <w:tab w:val="left" w:pos="1981"/>
            <w:tab w:val="left" w:pos="2264"/>
            <w:tab w:val="left" w:pos="2547"/>
            <w:tab w:val="left" w:pos="2830"/>
            <w:tab w:val="left" w:pos="3113"/>
            <w:tab w:val="left" w:pos="3396"/>
            <w:tab w:val="left" w:pos="3679"/>
            <w:tab w:val="left" w:pos="3962"/>
            <w:tab w:val="left" w:pos="4245"/>
            <w:tab w:val="left" w:pos="4528"/>
            <w:tab w:val="left" w:pos="4811"/>
            <w:tab w:val="left" w:pos="5094"/>
            <w:tab w:val="left" w:pos="5377"/>
            <w:tab w:val="left" w:pos="5660"/>
            <w:tab w:val="left" w:pos="6226"/>
            <w:tab w:val="left" w:pos="6509"/>
            <w:tab w:val="left" w:pos="6792"/>
            <w:tab w:val="left" w:pos="7075"/>
            <w:tab w:val="left" w:pos="7358"/>
            <w:tab w:val="left" w:pos="7641"/>
            <w:tab w:val="left" w:pos="7924"/>
            <w:tab w:val="left" w:pos="8207"/>
            <w:tab w:val="left" w:pos="8490"/>
            <w:tab w:val="left" w:pos="8773"/>
            <w:tab w:val="left" w:pos="9056"/>
            <w:tab w:val="left" w:pos="9339"/>
          </w:tabs>
          <w:ind w:left="612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footnotePr>
    <w:numFmt w:val="decimal"/>
    <w:numStart w:val="1"/>
    <w:numRestart w:val="continuous"/>
    <w:footnote w:id="-1"/>
    <w:footnote w:id="0"/>
    <w:footnote w:id="-2"/>
  </w:footnotePr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Optima" w:cs="Optima" w:hAnsi="Optima" w:eastAsia="Optim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note">
    <w:name w:val="Footnote"/>
    <w:next w:val="Footnot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Optima" w:cs="Optima" w:hAnsi="Optima" w:eastAsia="Optim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tif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footnotes" Target="footnotes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179999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Optima"/>
            <a:ea typeface="Optima"/>
            <a:cs typeface="Optima"/>
            <a:sym typeface="Optim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