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148A4" w:rsidRDefault="00EB735E">
      <w:pPr>
        <w:pStyle w:val="Title"/>
      </w:pPr>
      <w:r>
        <w:rPr>
          <w:rStyle w:val="NoneA"/>
        </w:rPr>
        <w:t>CONTRACT FOR INSTALLATION</w:t>
      </w:r>
    </w:p>
    <w:p w:rsidR="005148A4" w:rsidRDefault="00EB735E">
      <w:pPr>
        <w:pStyle w:val="Heading"/>
        <w:spacing w:before="0" w:line="240" w:lineRule="auto"/>
      </w:pPr>
      <w:r>
        <w:rPr>
          <w:rStyle w:val="NoneA"/>
        </w:rPr>
        <w:t>and SUPPLY OF MATERIALS</w:t>
      </w:r>
    </w:p>
    <w:p w:rsidR="005148A4" w:rsidRDefault="005148A4">
      <w:pPr>
        <w:pStyle w:val="Default"/>
        <w:widowControl w:val="0"/>
        <w:spacing w:before="0"/>
        <w:ind w:left="832"/>
        <w:rPr>
          <w:rFonts w:ascii="Spectral Regular" w:eastAsia="Spectral Regular" w:hAnsi="Spectral Regular" w:cs="Spectral Regular"/>
        </w:rPr>
      </w:pPr>
    </w:p>
    <w:p w:rsidR="005148A4" w:rsidRDefault="00EB735E">
      <w:pPr>
        <w:pStyle w:val="Default"/>
        <w:widowControl w:val="0"/>
        <w:spacing w:before="0"/>
        <w:ind w:left="847"/>
        <w:rPr>
          <w:rFonts w:ascii="Spectral Regular" w:eastAsia="Spectral Regular" w:hAnsi="Spectral Regular" w:cs="Spectral Regular"/>
        </w:rPr>
      </w:pPr>
      <w:r>
        <w:rPr>
          <w:rFonts w:ascii="Spectral Regular" w:hAnsi="Spectral Regular"/>
        </w:rPr>
        <w:t>This contract is entered into by and between</w:t>
      </w:r>
    </w:p>
    <w:p w:rsidR="005148A4" w:rsidRDefault="005148A4">
      <w:pPr>
        <w:pStyle w:val="Default"/>
        <w:widowControl w:val="0"/>
        <w:spacing w:before="15"/>
        <w:ind w:left="832"/>
        <w:rPr>
          <w:rFonts w:ascii="Spectral Regular" w:eastAsia="Spectral Regular" w:hAnsi="Spectral Regular" w:cs="Spectral Regular"/>
          <w:sz w:val="23"/>
          <w:szCs w:val="23"/>
        </w:rPr>
      </w:pPr>
    </w:p>
    <w:p w:rsidR="005148A4" w:rsidRDefault="00EB735E">
      <w:pPr>
        <w:pStyle w:val="Default"/>
        <w:widowControl w:val="0"/>
        <w:spacing w:before="0"/>
        <w:ind w:left="847" w:right="805" w:firstLine="720"/>
        <w:jc w:val="both"/>
        <w:rPr>
          <w:rFonts w:ascii="Spectral Regular" w:eastAsia="Spectral Regular" w:hAnsi="Spectral Regular" w:cs="Spectral Regular"/>
        </w:rPr>
      </w:pPr>
      <w:r>
        <w:rPr>
          <w:rFonts w:ascii="Spectral Regular" w:hAnsi="Spectral Regular"/>
        </w:rPr>
        <w:t xml:space="preserve">The UNIVERSITY OF THE PHILIPPINES, the national university of the Republic of the Philippines created and operating under Act No. 1870 and Republic Act No. 9500, represented by DR. </w:t>
      </w:r>
      <w:r w:rsidR="00BF3368">
        <w:rPr>
          <w:rFonts w:ascii="Spectral Regular" w:hAnsi="Spectral Regular"/>
        </w:rPr>
        <w:t>MICHAEL L. TEE</w:t>
      </w:r>
      <w:r>
        <w:rPr>
          <w:rFonts w:ascii="Spectral Regular" w:hAnsi="Spectral Regular"/>
        </w:rPr>
        <w:t>, Chancellor of the University of the Philippines Manila (UP Manila) with oﬃce address at the 8/F RCB Building, Philippine General Hospital, Taft Avenue, City of Manila, hereinafter referred to as the “PROCURING ENTITY”;</w:t>
      </w:r>
    </w:p>
    <w:p w:rsidR="005148A4" w:rsidRDefault="00EB735E">
      <w:pPr>
        <w:pStyle w:val="Default"/>
        <w:widowControl w:val="0"/>
        <w:spacing w:before="0"/>
        <w:ind w:left="1423" w:right="1785"/>
        <w:jc w:val="center"/>
        <w:rPr>
          <w:rFonts w:ascii="Spectral Regular" w:eastAsia="Spectral Regular" w:hAnsi="Spectral Regular" w:cs="Spectral Regular"/>
        </w:rPr>
      </w:pPr>
      <w:r>
        <w:rPr>
          <w:rFonts w:ascii="Spectral Regular" w:hAnsi="Spectral Regular"/>
        </w:rPr>
        <w:t>- and -</w:t>
      </w:r>
    </w:p>
    <w:p w:rsidR="005148A4" w:rsidRDefault="00EB735E">
      <w:pPr>
        <w:pStyle w:val="Default"/>
        <w:widowControl w:val="0"/>
        <w:spacing w:before="0"/>
        <w:ind w:left="847" w:right="823" w:firstLine="720"/>
        <w:jc w:val="both"/>
        <w:rPr>
          <w:rFonts w:ascii="Spectral Regular" w:eastAsia="Spectral Regular" w:hAnsi="Spectral Regular" w:cs="Spectral Regular"/>
        </w:rPr>
      </w:pPr>
      <w:r>
        <w:rPr>
          <w:rFonts w:ascii="Spectral Regular" w:hAnsi="Spectral Regular"/>
          <w:caps/>
        </w:rPr>
        <w:t>&lt;&lt;name of single proprietorship or corporatiOn&gt;&gt;,</w:t>
      </w:r>
      <w:r>
        <w:rPr>
          <w:rFonts w:ascii="Spectral Regular" w:hAnsi="Spectral Regular"/>
        </w:rPr>
        <w:t xml:space="preserve"> </w:t>
      </w:r>
      <w:proofErr w:type="gramStart"/>
      <w:r>
        <w:rPr>
          <w:rFonts w:ascii="Spectral Regular" w:hAnsi="Spectral Regular"/>
        </w:rPr>
        <w:t>a  &lt;</w:t>
      </w:r>
      <w:proofErr w:type="gramEnd"/>
      <w:r>
        <w:rPr>
          <w:rFonts w:ascii="Spectral Regular" w:hAnsi="Spectral Regular"/>
        </w:rPr>
        <w:t>&lt;single proprietorship; corporation&gt;&gt; entity   duly organized and existing under the laws of the Republic of the Philippines, with office address at &lt;&lt;complete office address&gt;&gt; represented herein by its &lt;&lt;position/title&gt;&gt;, &lt;&lt;Complete Name&gt;&gt;,   hereinafter referred to as the “CONTRACTOR”;</w:t>
      </w:r>
    </w:p>
    <w:p w:rsidR="005148A4" w:rsidRDefault="005148A4">
      <w:pPr>
        <w:pStyle w:val="Default"/>
        <w:widowControl w:val="0"/>
        <w:spacing w:before="0"/>
        <w:ind w:left="832"/>
        <w:rPr>
          <w:rFonts w:ascii="Spectral Regular" w:eastAsia="Spectral Regular" w:hAnsi="Spectral Regular" w:cs="Spectral Regular"/>
        </w:rPr>
      </w:pPr>
    </w:p>
    <w:p w:rsidR="005148A4" w:rsidRDefault="00EB735E">
      <w:pPr>
        <w:pStyle w:val="Heading"/>
      </w:pPr>
      <w:r>
        <w:rPr>
          <w:spacing w:val="-2"/>
        </w:rPr>
        <w:t>BACKGROUND</w:t>
      </w:r>
    </w:p>
    <w:p w:rsidR="005148A4" w:rsidRDefault="005148A4">
      <w:pPr>
        <w:pStyle w:val="Default"/>
        <w:widowControl w:val="0"/>
        <w:spacing w:before="0"/>
        <w:ind w:left="832"/>
        <w:rPr>
          <w:rFonts w:ascii="Spectral Regular" w:eastAsia="Spectral Regular" w:hAnsi="Spectral Regular" w:cs="Spectral Regular"/>
        </w:rPr>
      </w:pPr>
    </w:p>
    <w:p w:rsidR="005148A4" w:rsidRDefault="00EB735E">
      <w:pPr>
        <w:pStyle w:val="BodyA"/>
        <w:widowControl/>
        <w:spacing w:before="0"/>
        <w:ind w:left="0" w:right="0" w:firstLine="0"/>
        <w:rPr>
          <w:color w:val="000009"/>
          <w:u w:color="000009"/>
        </w:rPr>
      </w:pPr>
      <w:r>
        <w:rPr>
          <w:color w:val="000009"/>
          <w:u w:color="000009"/>
          <w:lang w:val="de-DE"/>
        </w:rPr>
        <w:t>T</w:t>
      </w:r>
      <w:r>
        <w:rPr>
          <w:color w:val="000009"/>
          <w:u w:color="000009"/>
        </w:rPr>
        <w:t>he University of the Philippines is the national university of the Republic of the Philippines. It leads the nation in setting academic standards,</w:t>
      </w:r>
      <w:r>
        <w:rPr>
          <w:color w:val="000009"/>
          <w:u w:color="000009"/>
          <w:lang w:val="fr-FR"/>
        </w:rPr>
        <w:t xml:space="preserve"> </w:t>
      </w:r>
      <w:proofErr w:type="spellStart"/>
      <w:r>
        <w:rPr>
          <w:color w:val="000009"/>
          <w:u w:color="000009"/>
          <w:lang w:val="fr-FR"/>
        </w:rPr>
        <w:t>initiat</w:t>
      </w:r>
      <w:proofErr w:type="spellEnd"/>
      <w:r>
        <w:rPr>
          <w:color w:val="000009"/>
          <w:u w:color="000009"/>
        </w:rPr>
        <w:t>es innovations in teaching, research and extension as well as promotes student and faculty development. It serves the Filipino nation by providing training in leadership, responsible citizenship, the development of democratic values and nationalism.</w:t>
      </w:r>
    </w:p>
    <w:p w:rsidR="005148A4" w:rsidRDefault="00EB735E">
      <w:pPr>
        <w:pStyle w:val="BodyA"/>
        <w:widowControl/>
        <w:spacing w:before="0"/>
        <w:ind w:left="0" w:right="0" w:firstLine="0"/>
        <w:rPr>
          <w:color w:val="000009"/>
          <w:u w:color="000009"/>
        </w:rPr>
      </w:pPr>
      <w:r>
        <w:rPr>
          <w:color w:val="000009"/>
          <w:u w:color="000009"/>
        </w:rPr>
        <w:t>The CONTRACTOR represents itself to be qualified to be capable of entering into and complying with its obligations under this Contract.</w:t>
      </w:r>
    </w:p>
    <w:p w:rsidR="005148A4" w:rsidRDefault="00EB735E">
      <w:pPr>
        <w:pStyle w:val="BodyA"/>
        <w:widowControl/>
        <w:spacing w:before="0"/>
        <w:ind w:left="0" w:right="0" w:firstLine="0"/>
        <w:rPr>
          <w:color w:val="000009"/>
          <w:u w:color="000009"/>
        </w:rPr>
      </w:pPr>
      <w:r>
        <w:rPr>
          <w:color w:val="000009"/>
          <w:u w:color="000009"/>
        </w:rPr>
        <w:t xml:space="preserve">The PROCURING </w:t>
      </w:r>
      <w:proofErr w:type="gramStart"/>
      <w:r>
        <w:rPr>
          <w:color w:val="000009"/>
          <w:u w:color="000009"/>
        </w:rPr>
        <w:t>ENTITY  is</w:t>
      </w:r>
      <w:proofErr w:type="gramEnd"/>
      <w:r>
        <w:rPr>
          <w:color w:val="000009"/>
          <w:u w:color="000009"/>
        </w:rPr>
        <w:t xml:space="preserve"> engaged in the implementation of the following project:</w:t>
      </w:r>
    </w:p>
    <w:p w:rsidR="005148A4" w:rsidRDefault="00EB735E">
      <w:pPr>
        <w:pStyle w:val="BodyA"/>
        <w:widowControl/>
        <w:spacing w:before="0" w:after="40"/>
        <w:ind w:left="0" w:right="0" w:firstLine="0"/>
        <w:rPr>
          <w:color w:val="000009"/>
          <w:u w:color="000009"/>
        </w:rPr>
      </w:pPr>
      <w:r>
        <w:rPr>
          <w:color w:val="000009"/>
          <w:u w:color="000009"/>
        </w:rPr>
        <w:t xml:space="preserve">Title </w:t>
      </w:r>
      <w:r>
        <w:rPr>
          <w:color w:val="000009"/>
          <w:u w:color="000009"/>
        </w:rPr>
        <w:tab/>
      </w:r>
      <w:r>
        <w:rPr>
          <w:color w:val="000009"/>
          <w:u w:color="000009"/>
        </w:rPr>
        <w:tab/>
      </w:r>
      <w:r>
        <w:rPr>
          <w:color w:val="000009"/>
          <w:u w:color="000009"/>
        </w:rPr>
        <w:tab/>
      </w:r>
      <w:r>
        <w:rPr>
          <w:color w:val="000009"/>
          <w:u w:color="000009"/>
        </w:rPr>
        <w:tab/>
      </w:r>
      <w:r>
        <w:rPr>
          <w:color w:val="000009"/>
          <w:u w:color="000009"/>
        </w:rPr>
        <w:tab/>
        <w:t>&lt;Title of research project&gt;</w:t>
      </w:r>
    </w:p>
    <w:p w:rsidR="005148A4" w:rsidRDefault="00EB735E">
      <w:pPr>
        <w:pStyle w:val="BodyA"/>
        <w:widowControl/>
        <w:spacing w:before="0" w:after="40"/>
        <w:ind w:left="0" w:right="0" w:firstLine="0"/>
        <w:rPr>
          <w:color w:val="000009"/>
          <w:u w:color="000009"/>
        </w:rPr>
      </w:pPr>
      <w:r>
        <w:rPr>
          <w:color w:val="000009"/>
          <w:u w:color="000009"/>
        </w:rPr>
        <w:t>Purpose of the Contract</w:t>
      </w:r>
      <w:r>
        <w:rPr>
          <w:color w:val="000009"/>
          <w:u w:color="000009"/>
        </w:rPr>
        <w:tab/>
      </w:r>
      <w:r>
        <w:rPr>
          <w:color w:val="000009"/>
          <w:u w:color="000009"/>
        </w:rPr>
        <w:tab/>
        <w:t>&lt;installation and supply of materials&gt;</w:t>
      </w:r>
    </w:p>
    <w:p w:rsidR="005148A4" w:rsidRDefault="00EB735E">
      <w:pPr>
        <w:pStyle w:val="BodyA"/>
        <w:widowControl/>
        <w:spacing w:before="0" w:after="40"/>
        <w:ind w:left="0" w:right="0" w:firstLine="0"/>
        <w:rPr>
          <w:color w:val="000009"/>
          <w:u w:color="000009"/>
        </w:rPr>
      </w:pPr>
      <w:r>
        <w:rPr>
          <w:color w:val="000009"/>
          <w:u w:color="000009"/>
        </w:rPr>
        <w:t>Source of funds</w:t>
      </w:r>
      <w:r>
        <w:rPr>
          <w:color w:val="000009"/>
          <w:u w:color="000009"/>
        </w:rPr>
        <w:tab/>
      </w:r>
      <w:r>
        <w:rPr>
          <w:color w:val="000009"/>
          <w:u w:color="000009"/>
        </w:rPr>
        <w:tab/>
      </w:r>
      <w:r>
        <w:rPr>
          <w:color w:val="000009"/>
          <w:u w:color="000009"/>
        </w:rPr>
        <w:tab/>
        <w:t>&lt;state source/s of fund for the payment&gt;</w:t>
      </w:r>
    </w:p>
    <w:p w:rsidR="005148A4" w:rsidRDefault="00EB735E">
      <w:pPr>
        <w:pStyle w:val="BodyA"/>
        <w:widowControl/>
        <w:spacing w:before="0" w:after="60"/>
        <w:ind w:left="0" w:right="0" w:firstLine="0"/>
        <w:rPr>
          <w:color w:val="000009"/>
          <w:u w:color="000009"/>
        </w:rPr>
      </w:pPr>
      <w:r>
        <w:rPr>
          <w:rFonts w:ascii="Spectral SemiBold" w:hAnsi="Spectral SemiBold"/>
          <w:color w:val="000009"/>
          <w:u w:color="000009"/>
        </w:rPr>
        <w:t>Procurement information</w:t>
      </w:r>
      <w:r>
        <w:rPr>
          <w:color w:val="000009"/>
          <w:u w:color="000009"/>
        </w:rPr>
        <w:t>:</w:t>
      </w:r>
    </w:p>
    <w:p w:rsidR="005148A4" w:rsidRDefault="00EB735E">
      <w:pPr>
        <w:pStyle w:val="BodyA"/>
        <w:widowControl/>
        <w:spacing w:before="0" w:after="20"/>
        <w:ind w:left="0" w:right="0" w:firstLine="0"/>
        <w:rPr>
          <w:color w:val="000009"/>
          <w:u w:color="000009"/>
        </w:rPr>
      </w:pPr>
      <w:r>
        <w:rPr>
          <w:color w:val="000009"/>
          <w:u w:color="000009"/>
        </w:rPr>
        <w:t>Mode of procurement</w:t>
      </w:r>
      <w:r>
        <w:rPr>
          <w:color w:val="000009"/>
          <w:u w:color="000009"/>
        </w:rPr>
        <w:tab/>
      </w:r>
      <w:r>
        <w:rPr>
          <w:color w:val="000009"/>
          <w:u w:color="000009"/>
        </w:rPr>
        <w:tab/>
        <w:t>&lt;state&gt;</w:t>
      </w:r>
    </w:p>
    <w:p w:rsidR="005148A4" w:rsidRDefault="00EB735E">
      <w:pPr>
        <w:pStyle w:val="BodyA"/>
        <w:widowControl/>
        <w:spacing w:before="0" w:after="20"/>
        <w:ind w:left="0" w:right="0" w:firstLine="0"/>
        <w:rPr>
          <w:color w:val="000009"/>
          <w:u w:color="000009"/>
        </w:rPr>
      </w:pPr>
      <w:r>
        <w:rPr>
          <w:color w:val="000009"/>
          <w:u w:color="000009"/>
        </w:rPr>
        <w:t>Procurement law followed</w:t>
      </w:r>
      <w:r>
        <w:rPr>
          <w:color w:val="000009"/>
          <w:u w:color="000009"/>
        </w:rPr>
        <w:tab/>
      </w:r>
      <w:r>
        <w:rPr>
          <w:color w:val="000009"/>
          <w:u w:color="000009"/>
        </w:rPr>
        <w:tab/>
        <w:t>Republic Act No. 9184 and its IRR and issuances</w:t>
      </w:r>
    </w:p>
    <w:p w:rsidR="005148A4" w:rsidRDefault="00EB735E">
      <w:pPr>
        <w:pStyle w:val="BodyA"/>
        <w:widowControl/>
        <w:spacing w:before="0" w:after="20"/>
        <w:ind w:left="0" w:right="0" w:firstLine="0"/>
        <w:rPr>
          <w:color w:val="000009"/>
          <w:u w:color="000009"/>
        </w:rPr>
      </w:pPr>
      <w:r>
        <w:rPr>
          <w:color w:val="000009"/>
          <w:u w:color="000009"/>
        </w:rPr>
        <w:t>Approved budget for the contract</w:t>
      </w:r>
      <w:r>
        <w:rPr>
          <w:color w:val="000009"/>
          <w:u w:color="000009"/>
        </w:rPr>
        <w:tab/>
        <w:t>&lt;amount in words&gt; &lt;amount in numbers&gt;</w:t>
      </w:r>
    </w:p>
    <w:p w:rsidR="005148A4" w:rsidRDefault="00EB735E">
      <w:pPr>
        <w:pStyle w:val="BodyA"/>
        <w:widowControl/>
        <w:spacing w:before="0" w:after="20"/>
        <w:ind w:left="0" w:right="0" w:firstLine="0"/>
        <w:rPr>
          <w:color w:val="000009"/>
          <w:u w:color="000009"/>
        </w:rPr>
      </w:pPr>
      <w:r>
        <w:rPr>
          <w:color w:val="000009"/>
          <w:u w:color="000009"/>
        </w:rPr>
        <w:t>Advertisement</w:t>
      </w:r>
      <w:r>
        <w:rPr>
          <w:color w:val="000009"/>
          <w:u w:color="000009"/>
        </w:rPr>
        <w:tab/>
      </w:r>
      <w:r>
        <w:rPr>
          <w:color w:val="000009"/>
          <w:u w:color="000009"/>
        </w:rPr>
        <w:tab/>
      </w:r>
      <w:r>
        <w:rPr>
          <w:color w:val="000009"/>
          <w:u w:color="000009"/>
        </w:rPr>
        <w:tab/>
        <w:t>&lt;date&gt;</w:t>
      </w:r>
    </w:p>
    <w:p w:rsidR="005148A4" w:rsidRDefault="00EB735E">
      <w:pPr>
        <w:pStyle w:val="BodyA"/>
        <w:widowControl/>
        <w:spacing w:before="0" w:after="20"/>
        <w:ind w:left="0" w:right="0" w:firstLine="0"/>
        <w:rPr>
          <w:color w:val="000009"/>
          <w:u w:color="000009"/>
        </w:rPr>
      </w:pPr>
      <w:r>
        <w:rPr>
          <w:color w:val="000009"/>
          <w:u w:color="000009"/>
        </w:rPr>
        <w:t>Pre-bid conference</w:t>
      </w:r>
      <w:r>
        <w:rPr>
          <w:color w:val="000009"/>
          <w:u w:color="000009"/>
        </w:rPr>
        <w:tab/>
      </w:r>
      <w:r>
        <w:rPr>
          <w:color w:val="000009"/>
          <w:u w:color="000009"/>
        </w:rPr>
        <w:tab/>
      </w:r>
      <w:r>
        <w:rPr>
          <w:color w:val="000009"/>
          <w:u w:color="000009"/>
        </w:rPr>
        <w:tab/>
        <w:t>&lt;date&gt;</w:t>
      </w:r>
    </w:p>
    <w:p w:rsidR="005148A4" w:rsidRDefault="00EB735E">
      <w:pPr>
        <w:pStyle w:val="BodyA"/>
        <w:widowControl/>
        <w:spacing w:before="0" w:after="20"/>
        <w:ind w:left="0" w:right="0" w:firstLine="0"/>
        <w:rPr>
          <w:color w:val="000009"/>
          <w:u w:color="000009"/>
        </w:rPr>
      </w:pPr>
      <w:r>
        <w:rPr>
          <w:color w:val="000009"/>
          <w:u w:color="000009"/>
        </w:rPr>
        <w:lastRenderedPageBreak/>
        <w:t>Submission of bids</w:t>
      </w:r>
      <w:r>
        <w:rPr>
          <w:color w:val="000009"/>
          <w:u w:color="000009"/>
        </w:rPr>
        <w:tab/>
      </w:r>
      <w:r>
        <w:rPr>
          <w:color w:val="000009"/>
          <w:u w:color="000009"/>
        </w:rPr>
        <w:tab/>
      </w:r>
      <w:r>
        <w:rPr>
          <w:color w:val="000009"/>
          <w:u w:color="000009"/>
        </w:rPr>
        <w:tab/>
        <w:t>&lt;date&gt;</w:t>
      </w:r>
    </w:p>
    <w:p w:rsidR="005148A4" w:rsidRDefault="00EB735E">
      <w:pPr>
        <w:pStyle w:val="BodyA"/>
        <w:widowControl/>
        <w:spacing w:before="0" w:after="20"/>
        <w:ind w:left="0" w:right="0" w:firstLine="0"/>
        <w:rPr>
          <w:color w:val="000009"/>
          <w:u w:color="000009"/>
        </w:rPr>
      </w:pPr>
      <w:r>
        <w:rPr>
          <w:color w:val="000009"/>
          <w:u w:color="000009"/>
        </w:rPr>
        <w:t>Bidders</w:t>
      </w:r>
      <w:r>
        <w:rPr>
          <w:color w:val="000009"/>
          <w:u w:color="000009"/>
        </w:rPr>
        <w:tab/>
      </w:r>
      <w:r>
        <w:rPr>
          <w:color w:val="000009"/>
          <w:u w:color="000009"/>
        </w:rPr>
        <w:tab/>
      </w:r>
      <w:r>
        <w:rPr>
          <w:color w:val="000009"/>
          <w:u w:color="000009"/>
        </w:rPr>
        <w:tab/>
      </w:r>
      <w:r>
        <w:rPr>
          <w:color w:val="000009"/>
          <w:u w:color="000009"/>
        </w:rPr>
        <w:tab/>
        <w:t>&lt;name of corporation or single proprietorship&gt;</w:t>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ab/>
        <w:t>and &lt;amount of bid&gt;</w:t>
      </w:r>
    </w:p>
    <w:p w:rsidR="005148A4" w:rsidRDefault="00EB735E">
      <w:pPr>
        <w:pStyle w:val="BodyA"/>
        <w:widowControl/>
        <w:spacing w:before="0" w:after="20"/>
        <w:ind w:left="0" w:right="0" w:firstLine="0"/>
        <w:rPr>
          <w:color w:val="000009"/>
          <w:u w:color="000009"/>
        </w:rPr>
      </w:pPr>
      <w:r>
        <w:rPr>
          <w:color w:val="000009"/>
          <w:u w:color="000009"/>
        </w:rPr>
        <w:tab/>
      </w:r>
      <w:r>
        <w:rPr>
          <w:color w:val="000009"/>
          <w:u w:color="000009"/>
        </w:rPr>
        <w:tab/>
      </w:r>
      <w:r>
        <w:rPr>
          <w:color w:val="000009"/>
          <w:u w:color="000009"/>
        </w:rPr>
        <w:tab/>
      </w:r>
      <w:r>
        <w:rPr>
          <w:color w:val="000009"/>
          <w:u w:color="000009"/>
        </w:rPr>
        <w:tab/>
      </w:r>
      <w:r>
        <w:rPr>
          <w:color w:val="000009"/>
          <w:u w:color="000009"/>
        </w:rPr>
        <w:tab/>
        <w:t>&lt;name of corporation or single proprietorship&gt;</w:t>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ab/>
        <w:t>and &lt;amount of bid&gt;</w:t>
      </w:r>
    </w:p>
    <w:p w:rsidR="005148A4" w:rsidRDefault="00EB735E">
      <w:pPr>
        <w:pStyle w:val="BodyA"/>
        <w:widowControl/>
        <w:spacing w:before="0" w:after="20"/>
        <w:ind w:left="0" w:right="0" w:firstLine="0"/>
        <w:rPr>
          <w:color w:val="000009"/>
          <w:u w:color="000009"/>
        </w:rPr>
      </w:pPr>
      <w:r>
        <w:rPr>
          <w:color w:val="000009"/>
          <w:u w:color="000009"/>
        </w:rPr>
        <w:tab/>
      </w:r>
      <w:r>
        <w:rPr>
          <w:color w:val="000009"/>
          <w:u w:color="000009"/>
        </w:rPr>
        <w:tab/>
      </w:r>
      <w:r>
        <w:rPr>
          <w:color w:val="000009"/>
          <w:u w:color="000009"/>
        </w:rPr>
        <w:tab/>
      </w:r>
      <w:r>
        <w:rPr>
          <w:color w:val="000009"/>
          <w:u w:color="000009"/>
        </w:rPr>
        <w:tab/>
      </w:r>
      <w:r>
        <w:rPr>
          <w:color w:val="000009"/>
          <w:u w:color="000009"/>
        </w:rPr>
        <w:tab/>
        <w:t>&lt;name of corporation or single proprietorship&gt;</w:t>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ab/>
      </w:r>
      <w:r>
        <w:rPr>
          <w:color w:val="000009"/>
          <w:u w:color="000009"/>
        </w:rPr>
        <w:tab/>
        <w:t>and &lt;amount of bid&gt;</w:t>
      </w:r>
    </w:p>
    <w:p w:rsidR="005148A4" w:rsidRDefault="00EB735E">
      <w:pPr>
        <w:pStyle w:val="BodyA"/>
        <w:widowControl/>
        <w:spacing w:before="0" w:after="20"/>
        <w:ind w:left="0" w:right="0" w:firstLine="0"/>
        <w:rPr>
          <w:color w:val="000009"/>
          <w:u w:color="000009"/>
        </w:rPr>
      </w:pPr>
      <w:r>
        <w:rPr>
          <w:color w:val="000009"/>
          <w:u w:color="000009"/>
        </w:rPr>
        <w:t>Bid evaluation</w:t>
      </w:r>
      <w:r>
        <w:rPr>
          <w:color w:val="000009"/>
          <w:u w:color="000009"/>
        </w:rPr>
        <w:tab/>
      </w:r>
      <w:r>
        <w:rPr>
          <w:color w:val="000009"/>
          <w:u w:color="000009"/>
        </w:rPr>
        <w:tab/>
      </w:r>
      <w:r>
        <w:rPr>
          <w:color w:val="000009"/>
          <w:u w:color="000009"/>
        </w:rPr>
        <w:tab/>
        <w:t>&lt;date of completion&gt;</w:t>
      </w:r>
    </w:p>
    <w:p w:rsidR="005148A4" w:rsidRDefault="00EB735E">
      <w:pPr>
        <w:pStyle w:val="BodyA"/>
        <w:widowControl/>
        <w:spacing w:before="0" w:after="20"/>
        <w:ind w:left="0" w:right="0" w:firstLine="0"/>
        <w:rPr>
          <w:color w:val="000009"/>
          <w:u w:color="000009"/>
        </w:rPr>
      </w:pPr>
      <w:r>
        <w:rPr>
          <w:color w:val="000009"/>
          <w:u w:color="000009"/>
        </w:rPr>
        <w:t>Post-qualification</w:t>
      </w:r>
      <w:r>
        <w:rPr>
          <w:color w:val="000009"/>
          <w:u w:color="000009"/>
        </w:rPr>
        <w:tab/>
      </w:r>
      <w:r>
        <w:rPr>
          <w:color w:val="000009"/>
          <w:u w:color="000009"/>
        </w:rPr>
        <w:tab/>
      </w:r>
      <w:r>
        <w:rPr>
          <w:color w:val="000009"/>
          <w:u w:color="000009"/>
        </w:rPr>
        <w:tab/>
        <w:t>&lt;date of completion&gt;</w:t>
      </w:r>
    </w:p>
    <w:p w:rsidR="005148A4" w:rsidRDefault="00EB735E">
      <w:pPr>
        <w:pStyle w:val="BodyA"/>
        <w:widowControl/>
        <w:spacing w:before="0" w:after="20"/>
        <w:ind w:left="0" w:right="0" w:firstLine="0"/>
        <w:rPr>
          <w:color w:val="000009"/>
          <w:u w:color="000009"/>
        </w:rPr>
      </w:pPr>
      <w:r>
        <w:rPr>
          <w:color w:val="000009"/>
          <w:u w:color="000009"/>
        </w:rPr>
        <w:t xml:space="preserve">BAC Resolution No. </w:t>
      </w:r>
      <w:r>
        <w:rPr>
          <w:color w:val="000009"/>
          <w:u w:color="000009"/>
        </w:rPr>
        <w:tab/>
      </w:r>
      <w:r>
        <w:rPr>
          <w:color w:val="000009"/>
          <w:u w:color="000009"/>
        </w:rPr>
        <w:tab/>
        <w:t>&lt;resolution number</w:t>
      </w:r>
      <w:proofErr w:type="gramStart"/>
      <w:r>
        <w:rPr>
          <w:color w:val="000009"/>
          <w:u w:color="000009"/>
        </w:rPr>
        <w:t>&gt;  dated</w:t>
      </w:r>
      <w:proofErr w:type="gramEnd"/>
      <w:r>
        <w:rPr>
          <w:color w:val="000009"/>
          <w:u w:color="000009"/>
        </w:rPr>
        <w:t xml:space="preserve"> &lt;date of Resolution&gt;</w:t>
      </w:r>
    </w:p>
    <w:p w:rsidR="005148A4" w:rsidRDefault="00EB735E">
      <w:pPr>
        <w:pStyle w:val="BodyA"/>
        <w:widowControl/>
        <w:spacing w:before="0" w:after="20"/>
        <w:ind w:left="0" w:right="0" w:firstLine="0"/>
        <w:rPr>
          <w:color w:val="000009"/>
          <w:u w:color="000009"/>
        </w:rPr>
      </w:pPr>
      <w:r>
        <w:rPr>
          <w:color w:val="000009"/>
          <w:u w:color="000009"/>
        </w:rPr>
        <w:tab/>
      </w:r>
      <w:r>
        <w:rPr>
          <w:color w:val="000009"/>
          <w:u w:color="000009"/>
        </w:rPr>
        <w:tab/>
      </w:r>
      <w:r>
        <w:rPr>
          <w:color w:val="000009"/>
          <w:u w:color="000009"/>
        </w:rPr>
        <w:tab/>
      </w:r>
      <w:r>
        <w:rPr>
          <w:color w:val="000009"/>
          <w:u w:color="000009"/>
        </w:rPr>
        <w:tab/>
      </w:r>
      <w:r>
        <w:rPr>
          <w:color w:val="000009"/>
          <w:u w:color="000009"/>
        </w:rPr>
        <w:tab/>
        <w:t xml:space="preserve">approved by </w:t>
      </w:r>
      <w:proofErr w:type="spellStart"/>
      <w:r>
        <w:rPr>
          <w:color w:val="000009"/>
          <w:u w:color="000009"/>
        </w:rPr>
        <w:t>HoPE</w:t>
      </w:r>
      <w:proofErr w:type="spellEnd"/>
      <w:r>
        <w:rPr>
          <w:color w:val="000009"/>
          <w:u w:color="000009"/>
        </w:rPr>
        <w:t xml:space="preserve"> on &lt;date of approval&gt;</w:t>
      </w:r>
    </w:p>
    <w:p w:rsidR="005148A4" w:rsidRDefault="00EB735E">
      <w:pPr>
        <w:pStyle w:val="BodyA"/>
        <w:widowControl/>
        <w:spacing w:before="0"/>
        <w:ind w:left="0" w:right="0" w:firstLine="0"/>
        <w:rPr>
          <w:color w:val="000009"/>
          <w:u w:color="000009"/>
        </w:rPr>
      </w:pPr>
      <w:r>
        <w:rPr>
          <w:color w:val="000009"/>
          <w:u w:color="000009"/>
        </w:rPr>
        <w:t>Notice of award</w:t>
      </w:r>
      <w:r>
        <w:rPr>
          <w:color w:val="000009"/>
          <w:u w:color="000009"/>
        </w:rPr>
        <w:tab/>
      </w:r>
      <w:r>
        <w:rPr>
          <w:color w:val="000009"/>
          <w:u w:color="000009"/>
        </w:rPr>
        <w:tab/>
      </w:r>
      <w:r>
        <w:rPr>
          <w:color w:val="000009"/>
          <w:u w:color="000009"/>
        </w:rPr>
        <w:tab/>
        <w:t>&lt;date of receipt or date emailed&gt;</w:t>
      </w:r>
    </w:p>
    <w:p w:rsidR="005148A4" w:rsidRDefault="00EB735E">
      <w:pPr>
        <w:pStyle w:val="BodyA"/>
        <w:widowControl/>
        <w:spacing w:before="0"/>
        <w:ind w:left="0" w:right="0" w:firstLine="0"/>
      </w:pPr>
      <w:r>
        <w:rPr>
          <w:color w:val="000009"/>
          <w:u w:color="000009"/>
        </w:rPr>
        <w:t xml:space="preserve">Having assessed and determined that the SUPPLIER is </w:t>
      </w:r>
      <w:proofErr w:type="gramStart"/>
      <w:r>
        <w:rPr>
          <w:color w:val="000009"/>
          <w:u w:color="000009"/>
        </w:rPr>
        <w:t>legally,  technically</w:t>
      </w:r>
      <w:proofErr w:type="gramEnd"/>
      <w:r>
        <w:rPr>
          <w:color w:val="000009"/>
          <w:u w:color="000009"/>
        </w:rPr>
        <w:t>, and financially capable to undertake the contract for the best interest of the government, the parties hereby agree as follows:</w:t>
      </w:r>
    </w:p>
    <w:p w:rsidR="005148A4" w:rsidRDefault="00EB735E">
      <w:pPr>
        <w:pStyle w:val="BodyA"/>
      </w:pPr>
      <w:r>
        <w:rPr>
          <w:rStyle w:val="NoneA"/>
        </w:rPr>
        <w:t>The</w:t>
      </w:r>
      <w:r>
        <w:rPr>
          <w:spacing w:val="-1"/>
        </w:rPr>
        <w:t xml:space="preserve"> </w:t>
      </w:r>
      <w:r>
        <w:rPr>
          <w:rStyle w:val="NoneA"/>
        </w:rPr>
        <w:t>parties</w:t>
      </w:r>
      <w:r>
        <w:rPr>
          <w:spacing w:val="-1"/>
        </w:rPr>
        <w:t xml:space="preserve"> </w:t>
      </w:r>
      <w:r>
        <w:rPr>
          <w:rStyle w:val="NoneA"/>
        </w:rPr>
        <w:t>hereby</w:t>
      </w:r>
      <w:r>
        <w:rPr>
          <w:spacing w:val="-1"/>
        </w:rPr>
        <w:t xml:space="preserve"> </w:t>
      </w:r>
      <w:r>
        <w:rPr>
          <w:rStyle w:val="NoneA"/>
        </w:rPr>
        <w:t>agree</w:t>
      </w:r>
      <w:r>
        <w:rPr>
          <w:spacing w:val="-1"/>
        </w:rPr>
        <w:t xml:space="preserve"> </w:t>
      </w:r>
      <w:r>
        <w:rPr>
          <w:rStyle w:val="NoneA"/>
        </w:rPr>
        <w:t xml:space="preserve">as </w:t>
      </w:r>
      <w:r>
        <w:rPr>
          <w:spacing w:val="-2"/>
        </w:rPr>
        <w:t>follows:</w:t>
      </w:r>
    </w:p>
    <w:p w:rsidR="005148A4" w:rsidRDefault="00EB735E">
      <w:pPr>
        <w:pStyle w:val="Body"/>
        <w:widowControl w:val="0"/>
        <w:spacing w:line="192" w:lineRule="auto"/>
        <w:ind w:left="127" w:right="104" w:firstLine="720"/>
        <w:jc w:val="center"/>
      </w:pPr>
      <w:r>
        <w:fldChar w:fldCharType="begin"/>
      </w:r>
      <w:r>
        <w:instrText xml:space="preserve"> TOC \o 1-1 \t "Body, 2,Subtitle, 3"</w:instrText>
      </w:r>
      <w:r>
        <w:fldChar w:fldCharType="separate"/>
      </w:r>
    </w:p>
    <w:p w:rsidR="005148A4" w:rsidRDefault="00EB735E">
      <w:pPr>
        <w:pStyle w:val="TOC3"/>
      </w:pPr>
      <w:r>
        <w:rPr>
          <w:rFonts w:eastAsia="Arial Unicode MS" w:cs="Arial Unicode MS"/>
        </w:rPr>
        <w:t>ARTICLE 1 - Definition of Terms</w:t>
      </w:r>
      <w:r>
        <w:rPr>
          <w:rFonts w:eastAsia="Arial Unicode MS" w:cs="Arial Unicode MS"/>
        </w:rPr>
        <w:tab/>
      </w:r>
      <w:r>
        <w:fldChar w:fldCharType="begin"/>
      </w:r>
      <w:r>
        <w:instrText xml:space="preserve"> PAGEREF _Toc \h </w:instrText>
      </w:r>
      <w:r>
        <w:fldChar w:fldCharType="separate"/>
      </w:r>
      <w:r>
        <w:rPr>
          <w:rFonts w:eastAsia="Arial Unicode MS" w:cs="Arial Unicode MS"/>
        </w:rPr>
        <w:t>3</w:t>
      </w:r>
      <w:r>
        <w:fldChar w:fldCharType="end"/>
      </w:r>
    </w:p>
    <w:p w:rsidR="005148A4" w:rsidRDefault="00EB735E">
      <w:pPr>
        <w:pStyle w:val="TOC3"/>
      </w:pPr>
      <w:r>
        <w:rPr>
          <w:rFonts w:eastAsia="Arial Unicode MS" w:cs="Arial Unicode MS"/>
        </w:rPr>
        <w:t>ARTICLE 2 - Contract Documents</w:t>
      </w:r>
      <w:r>
        <w:rPr>
          <w:rFonts w:eastAsia="Arial Unicode MS" w:cs="Arial Unicode MS"/>
        </w:rPr>
        <w:tab/>
      </w:r>
      <w:r>
        <w:fldChar w:fldCharType="begin"/>
      </w:r>
      <w:r>
        <w:instrText xml:space="preserve"> PAGEREF _Toc1 \h </w:instrText>
      </w:r>
      <w:r>
        <w:fldChar w:fldCharType="separate"/>
      </w:r>
      <w:r>
        <w:rPr>
          <w:rFonts w:eastAsia="Arial Unicode MS" w:cs="Arial Unicode MS"/>
        </w:rPr>
        <w:t>4</w:t>
      </w:r>
      <w:r>
        <w:fldChar w:fldCharType="end"/>
      </w:r>
    </w:p>
    <w:p w:rsidR="005148A4" w:rsidRDefault="00EB735E">
      <w:pPr>
        <w:pStyle w:val="TOC3"/>
      </w:pPr>
      <w:r>
        <w:rPr>
          <w:rFonts w:eastAsia="Arial Unicode MS" w:cs="Arial Unicode MS"/>
        </w:rPr>
        <w:t>ARTICLE 3 - Use of Contract Documents</w:t>
      </w:r>
      <w:r>
        <w:rPr>
          <w:rFonts w:eastAsia="Arial Unicode MS" w:cs="Arial Unicode MS"/>
        </w:rPr>
        <w:tab/>
      </w:r>
      <w:r>
        <w:fldChar w:fldCharType="begin"/>
      </w:r>
      <w:r>
        <w:instrText xml:space="preserve"> PAGEREF _Toc2 \h </w:instrText>
      </w:r>
      <w:r>
        <w:fldChar w:fldCharType="separate"/>
      </w:r>
      <w:r>
        <w:rPr>
          <w:rFonts w:eastAsia="Arial Unicode MS" w:cs="Arial Unicode MS"/>
        </w:rPr>
        <w:t>5</w:t>
      </w:r>
      <w:r>
        <w:fldChar w:fldCharType="end"/>
      </w:r>
    </w:p>
    <w:p w:rsidR="005148A4" w:rsidRDefault="00EB735E">
      <w:pPr>
        <w:pStyle w:val="TOC3"/>
      </w:pPr>
      <w:r>
        <w:rPr>
          <w:rFonts w:eastAsia="Arial Unicode MS" w:cs="Arial Unicode MS"/>
        </w:rPr>
        <w:t>ARTICLE 4 - Scope of Works</w:t>
      </w:r>
      <w:r>
        <w:rPr>
          <w:rFonts w:eastAsia="Arial Unicode MS" w:cs="Arial Unicode MS"/>
        </w:rPr>
        <w:tab/>
      </w:r>
      <w:r>
        <w:fldChar w:fldCharType="begin"/>
      </w:r>
      <w:r>
        <w:instrText xml:space="preserve"> PAGEREF _Toc3 \h </w:instrText>
      </w:r>
      <w:r>
        <w:fldChar w:fldCharType="separate"/>
      </w:r>
      <w:r>
        <w:rPr>
          <w:rFonts w:eastAsia="Arial Unicode MS" w:cs="Arial Unicode MS"/>
        </w:rPr>
        <w:t>5</w:t>
      </w:r>
      <w:r>
        <w:fldChar w:fldCharType="end"/>
      </w:r>
    </w:p>
    <w:p w:rsidR="005148A4" w:rsidRDefault="00EB735E">
      <w:pPr>
        <w:pStyle w:val="TOC3"/>
      </w:pPr>
      <w:r>
        <w:rPr>
          <w:rFonts w:eastAsia="Arial Unicode MS" w:cs="Arial Unicode MS"/>
        </w:rPr>
        <w:t>ARTICLE 5 - Contract Price</w:t>
      </w:r>
      <w:r>
        <w:rPr>
          <w:rFonts w:eastAsia="Arial Unicode MS" w:cs="Arial Unicode MS"/>
        </w:rPr>
        <w:tab/>
      </w:r>
      <w:r>
        <w:fldChar w:fldCharType="begin"/>
      </w:r>
      <w:r>
        <w:instrText xml:space="preserve"> PAGEREF _Toc4 \h </w:instrText>
      </w:r>
      <w:r>
        <w:fldChar w:fldCharType="separate"/>
      </w:r>
      <w:r>
        <w:rPr>
          <w:rFonts w:eastAsia="Arial Unicode MS" w:cs="Arial Unicode MS"/>
        </w:rPr>
        <w:t>6</w:t>
      </w:r>
      <w:r>
        <w:fldChar w:fldCharType="end"/>
      </w:r>
    </w:p>
    <w:p w:rsidR="005148A4" w:rsidRDefault="00EB735E">
      <w:pPr>
        <w:pStyle w:val="TOC3"/>
      </w:pPr>
      <w:r>
        <w:rPr>
          <w:rFonts w:eastAsia="Arial Unicode MS" w:cs="Arial Unicode MS"/>
        </w:rPr>
        <w:t>ARTICLE 6 - Payments</w:t>
      </w:r>
      <w:r>
        <w:rPr>
          <w:rFonts w:eastAsia="Arial Unicode MS" w:cs="Arial Unicode MS"/>
        </w:rPr>
        <w:tab/>
      </w:r>
      <w:r>
        <w:fldChar w:fldCharType="begin"/>
      </w:r>
      <w:r>
        <w:instrText xml:space="preserve"> PAGEREF _Toc5 \h </w:instrText>
      </w:r>
      <w:r>
        <w:fldChar w:fldCharType="separate"/>
      </w:r>
      <w:r>
        <w:rPr>
          <w:rFonts w:eastAsia="Arial Unicode MS" w:cs="Arial Unicode MS"/>
        </w:rPr>
        <w:t>8</w:t>
      </w:r>
      <w:r>
        <w:fldChar w:fldCharType="end"/>
      </w:r>
    </w:p>
    <w:p w:rsidR="005148A4" w:rsidRDefault="00EB735E">
      <w:pPr>
        <w:pStyle w:val="TOC3"/>
      </w:pPr>
      <w:r>
        <w:rPr>
          <w:rFonts w:eastAsia="Arial Unicode MS" w:cs="Arial Unicode MS"/>
        </w:rPr>
        <w:t>ARTICLE 7 - Completion Period</w:t>
      </w:r>
      <w:r>
        <w:rPr>
          <w:rFonts w:eastAsia="Arial Unicode MS" w:cs="Arial Unicode MS"/>
        </w:rPr>
        <w:tab/>
      </w:r>
      <w:r>
        <w:fldChar w:fldCharType="begin"/>
      </w:r>
      <w:r>
        <w:instrText xml:space="preserve"> PAGEREF _Toc6 \h </w:instrText>
      </w:r>
      <w:r>
        <w:fldChar w:fldCharType="separate"/>
      </w:r>
      <w:r>
        <w:rPr>
          <w:rFonts w:eastAsia="Arial Unicode MS" w:cs="Arial Unicode MS"/>
        </w:rPr>
        <w:t>9</w:t>
      </w:r>
      <w:r>
        <w:fldChar w:fldCharType="end"/>
      </w:r>
    </w:p>
    <w:p w:rsidR="005148A4" w:rsidRDefault="00EB735E">
      <w:pPr>
        <w:pStyle w:val="TOC3"/>
      </w:pPr>
      <w:r>
        <w:rPr>
          <w:rFonts w:eastAsia="Arial Unicode MS" w:cs="Arial Unicode MS"/>
        </w:rPr>
        <w:t>ARTICLE 8 - Delay and Force Majeure</w:t>
      </w:r>
      <w:r>
        <w:rPr>
          <w:rFonts w:eastAsia="Arial Unicode MS" w:cs="Arial Unicode MS"/>
        </w:rPr>
        <w:tab/>
      </w:r>
      <w:r>
        <w:fldChar w:fldCharType="begin"/>
      </w:r>
      <w:r>
        <w:instrText xml:space="preserve"> PAGEREF _Toc7 \h </w:instrText>
      </w:r>
      <w:r>
        <w:fldChar w:fldCharType="separate"/>
      </w:r>
      <w:r>
        <w:rPr>
          <w:rFonts w:eastAsia="Arial Unicode MS" w:cs="Arial Unicode MS"/>
        </w:rPr>
        <w:t>9</w:t>
      </w:r>
      <w:r>
        <w:fldChar w:fldCharType="end"/>
      </w:r>
    </w:p>
    <w:p w:rsidR="005148A4" w:rsidRDefault="00EB735E">
      <w:pPr>
        <w:pStyle w:val="TOC3"/>
      </w:pPr>
      <w:r>
        <w:rPr>
          <w:rFonts w:eastAsia="Arial Unicode MS" w:cs="Arial Unicode MS"/>
        </w:rPr>
        <w:t>ARTICLE 9 - Performance Security</w:t>
      </w:r>
      <w:r>
        <w:rPr>
          <w:rFonts w:eastAsia="Arial Unicode MS" w:cs="Arial Unicode MS"/>
        </w:rPr>
        <w:tab/>
      </w:r>
      <w:r>
        <w:fldChar w:fldCharType="begin"/>
      </w:r>
      <w:r>
        <w:instrText xml:space="preserve"> PAGEREF _Toc8 \h </w:instrText>
      </w:r>
      <w:r>
        <w:fldChar w:fldCharType="separate"/>
      </w:r>
      <w:r>
        <w:rPr>
          <w:rFonts w:eastAsia="Arial Unicode MS" w:cs="Arial Unicode MS"/>
        </w:rPr>
        <w:t>10</w:t>
      </w:r>
      <w:r>
        <w:fldChar w:fldCharType="end"/>
      </w:r>
    </w:p>
    <w:p w:rsidR="005148A4" w:rsidRDefault="00EB735E">
      <w:pPr>
        <w:pStyle w:val="TOC3"/>
      </w:pPr>
      <w:r>
        <w:rPr>
          <w:rFonts w:eastAsia="Arial Unicode MS" w:cs="Arial Unicode MS"/>
        </w:rPr>
        <w:t>ARTICLE 10 - Guarantee Bond</w:t>
      </w:r>
      <w:r>
        <w:rPr>
          <w:rFonts w:eastAsia="Arial Unicode MS" w:cs="Arial Unicode MS"/>
        </w:rPr>
        <w:tab/>
      </w:r>
      <w:r>
        <w:fldChar w:fldCharType="begin"/>
      </w:r>
      <w:r>
        <w:instrText xml:space="preserve"> PAGEREF _Toc9 \h </w:instrText>
      </w:r>
      <w:r>
        <w:fldChar w:fldCharType="separate"/>
      </w:r>
      <w:r>
        <w:rPr>
          <w:rFonts w:eastAsia="Arial Unicode MS" w:cs="Arial Unicode MS"/>
        </w:rPr>
        <w:t>12</w:t>
      </w:r>
      <w:r>
        <w:fldChar w:fldCharType="end"/>
      </w:r>
    </w:p>
    <w:p w:rsidR="005148A4" w:rsidRDefault="00EB735E">
      <w:pPr>
        <w:pStyle w:val="TOC3"/>
      </w:pPr>
      <w:r>
        <w:rPr>
          <w:rFonts w:eastAsia="Arial Unicode MS" w:cs="Arial Unicode MS"/>
        </w:rPr>
        <w:t>ARTICLE 11 - Liability Insurance</w:t>
      </w:r>
      <w:r>
        <w:rPr>
          <w:rFonts w:eastAsia="Arial Unicode MS" w:cs="Arial Unicode MS"/>
        </w:rPr>
        <w:tab/>
      </w:r>
      <w:r>
        <w:fldChar w:fldCharType="begin"/>
      </w:r>
      <w:r>
        <w:instrText xml:space="preserve"> PAGEREF _Toc10 \h </w:instrText>
      </w:r>
      <w:r>
        <w:fldChar w:fldCharType="separate"/>
      </w:r>
      <w:r>
        <w:rPr>
          <w:rFonts w:eastAsia="Arial Unicode MS" w:cs="Arial Unicode MS"/>
        </w:rPr>
        <w:t>12</w:t>
      </w:r>
      <w:r>
        <w:fldChar w:fldCharType="end"/>
      </w:r>
    </w:p>
    <w:p w:rsidR="005148A4" w:rsidRDefault="00EB735E">
      <w:pPr>
        <w:pStyle w:val="TOC3"/>
      </w:pPr>
      <w:r>
        <w:rPr>
          <w:rFonts w:eastAsia="Arial Unicode MS" w:cs="Arial Unicode MS"/>
        </w:rPr>
        <w:t>ARTICLE 12 - Warranties and Responsibilities of the Contractor</w:t>
      </w:r>
      <w:r>
        <w:rPr>
          <w:rFonts w:eastAsia="Arial Unicode MS" w:cs="Arial Unicode MS"/>
        </w:rPr>
        <w:tab/>
      </w:r>
      <w:r>
        <w:fldChar w:fldCharType="begin"/>
      </w:r>
      <w:r>
        <w:instrText xml:space="preserve"> PAGEREF _Toc11 \h </w:instrText>
      </w:r>
      <w:r>
        <w:fldChar w:fldCharType="separate"/>
      </w:r>
      <w:r>
        <w:rPr>
          <w:rFonts w:eastAsia="Arial Unicode MS" w:cs="Arial Unicode MS"/>
        </w:rPr>
        <w:t>12</w:t>
      </w:r>
      <w:r>
        <w:fldChar w:fldCharType="end"/>
      </w:r>
    </w:p>
    <w:p w:rsidR="005148A4" w:rsidRDefault="00EB735E">
      <w:pPr>
        <w:pStyle w:val="TOC3"/>
      </w:pPr>
      <w:r>
        <w:rPr>
          <w:rFonts w:eastAsia="Arial Unicode MS" w:cs="Arial Unicode MS"/>
        </w:rPr>
        <w:t>ARTICLE 13 - Indemnities</w:t>
      </w:r>
      <w:r>
        <w:rPr>
          <w:rFonts w:eastAsia="Arial Unicode MS" w:cs="Arial Unicode MS"/>
        </w:rPr>
        <w:tab/>
      </w:r>
      <w:r>
        <w:fldChar w:fldCharType="begin"/>
      </w:r>
      <w:r>
        <w:instrText xml:space="preserve"> PAGEREF _Toc12 \h </w:instrText>
      </w:r>
      <w:r>
        <w:fldChar w:fldCharType="separate"/>
      </w:r>
      <w:r>
        <w:rPr>
          <w:rFonts w:eastAsia="Arial Unicode MS" w:cs="Arial Unicode MS"/>
        </w:rPr>
        <w:t>14</w:t>
      </w:r>
      <w:r>
        <w:fldChar w:fldCharType="end"/>
      </w:r>
    </w:p>
    <w:p w:rsidR="005148A4" w:rsidRDefault="00EB735E">
      <w:pPr>
        <w:pStyle w:val="TOC3"/>
      </w:pPr>
      <w:r>
        <w:rPr>
          <w:rFonts w:eastAsia="Arial Unicode MS" w:cs="Arial Unicode MS"/>
        </w:rPr>
        <w:t>ARTICLE 15 - Monitoring Performance</w:t>
      </w:r>
      <w:r>
        <w:rPr>
          <w:rFonts w:eastAsia="Arial Unicode MS" w:cs="Arial Unicode MS"/>
        </w:rPr>
        <w:tab/>
      </w:r>
      <w:r>
        <w:fldChar w:fldCharType="begin"/>
      </w:r>
      <w:r>
        <w:instrText xml:space="preserve"> PAGEREF _Toc13 \h </w:instrText>
      </w:r>
      <w:r>
        <w:fldChar w:fldCharType="separate"/>
      </w:r>
      <w:r>
        <w:rPr>
          <w:rFonts w:eastAsia="Arial Unicode MS" w:cs="Arial Unicode MS"/>
        </w:rPr>
        <w:t>14</w:t>
      </w:r>
      <w:r>
        <w:fldChar w:fldCharType="end"/>
      </w:r>
    </w:p>
    <w:p w:rsidR="005148A4" w:rsidRDefault="00EB735E">
      <w:pPr>
        <w:pStyle w:val="TOC3"/>
      </w:pPr>
      <w:r>
        <w:rPr>
          <w:rFonts w:eastAsia="Arial Unicode MS" w:cs="Arial Unicode MS"/>
        </w:rPr>
        <w:t>ARTICLE 16 - Completion and Final Acceptance</w:t>
      </w:r>
      <w:r>
        <w:rPr>
          <w:rFonts w:eastAsia="Arial Unicode MS" w:cs="Arial Unicode MS"/>
        </w:rPr>
        <w:tab/>
      </w:r>
      <w:r>
        <w:fldChar w:fldCharType="begin"/>
      </w:r>
      <w:r>
        <w:instrText xml:space="preserve"> PAGEREF _Toc14 \h </w:instrText>
      </w:r>
      <w:r>
        <w:fldChar w:fldCharType="separate"/>
      </w:r>
      <w:r>
        <w:rPr>
          <w:rFonts w:eastAsia="Arial Unicode MS" w:cs="Arial Unicode MS"/>
        </w:rPr>
        <w:t>15</w:t>
      </w:r>
      <w:r>
        <w:fldChar w:fldCharType="end"/>
      </w:r>
    </w:p>
    <w:p w:rsidR="005148A4" w:rsidRDefault="00EB735E">
      <w:pPr>
        <w:pStyle w:val="TOC3"/>
      </w:pPr>
      <w:r>
        <w:rPr>
          <w:rFonts w:eastAsia="Arial Unicode MS" w:cs="Arial Unicode MS"/>
        </w:rPr>
        <w:t>ARTICLE 17 - Assignment and Sub-contracting</w:t>
      </w:r>
      <w:r>
        <w:rPr>
          <w:rFonts w:eastAsia="Arial Unicode MS" w:cs="Arial Unicode MS"/>
        </w:rPr>
        <w:tab/>
      </w:r>
      <w:r>
        <w:fldChar w:fldCharType="begin"/>
      </w:r>
      <w:r>
        <w:instrText xml:space="preserve"> PAGEREF _Toc15 \h </w:instrText>
      </w:r>
      <w:r>
        <w:fldChar w:fldCharType="separate"/>
      </w:r>
      <w:r>
        <w:rPr>
          <w:rFonts w:eastAsia="Arial Unicode MS" w:cs="Arial Unicode MS"/>
        </w:rPr>
        <w:t>15</w:t>
      </w:r>
      <w:r>
        <w:fldChar w:fldCharType="end"/>
      </w:r>
    </w:p>
    <w:p w:rsidR="005148A4" w:rsidRDefault="00EB735E">
      <w:pPr>
        <w:pStyle w:val="TOC3"/>
      </w:pPr>
      <w:r>
        <w:rPr>
          <w:rFonts w:eastAsia="Arial Unicode MS" w:cs="Arial Unicode MS"/>
        </w:rPr>
        <w:t>ARTICLE 18 - No Employer-Employee Relationship</w:t>
      </w:r>
      <w:r>
        <w:rPr>
          <w:rFonts w:eastAsia="Arial Unicode MS" w:cs="Arial Unicode MS"/>
        </w:rPr>
        <w:tab/>
      </w:r>
      <w:r>
        <w:fldChar w:fldCharType="begin"/>
      </w:r>
      <w:r>
        <w:instrText xml:space="preserve"> PAGEREF _Toc16 \h </w:instrText>
      </w:r>
      <w:r>
        <w:fldChar w:fldCharType="separate"/>
      </w:r>
      <w:r>
        <w:rPr>
          <w:rFonts w:eastAsia="Arial Unicode MS" w:cs="Arial Unicode MS"/>
        </w:rPr>
        <w:t>16</w:t>
      </w:r>
      <w:r>
        <w:fldChar w:fldCharType="end"/>
      </w:r>
    </w:p>
    <w:p w:rsidR="005148A4" w:rsidRDefault="00EB735E">
      <w:pPr>
        <w:pStyle w:val="TOC3"/>
      </w:pPr>
      <w:r>
        <w:rPr>
          <w:rFonts w:eastAsia="Arial Unicode MS" w:cs="Arial Unicode MS"/>
          <w:lang w:val="it-IT"/>
        </w:rPr>
        <w:t>ARTICLE 19 - Termination</w:t>
      </w:r>
      <w:r>
        <w:rPr>
          <w:rFonts w:eastAsia="Arial Unicode MS" w:cs="Arial Unicode MS"/>
          <w:lang w:val="it-IT"/>
        </w:rPr>
        <w:tab/>
      </w:r>
      <w:r>
        <w:fldChar w:fldCharType="begin"/>
      </w:r>
      <w:r>
        <w:instrText xml:space="preserve"> PAGEREF _Toc17 \h </w:instrText>
      </w:r>
      <w:r>
        <w:fldChar w:fldCharType="separate"/>
      </w:r>
      <w:r>
        <w:rPr>
          <w:rFonts w:eastAsia="Arial Unicode MS" w:cs="Arial Unicode MS"/>
        </w:rPr>
        <w:t>16</w:t>
      </w:r>
      <w:r>
        <w:fldChar w:fldCharType="end"/>
      </w:r>
    </w:p>
    <w:p w:rsidR="005148A4" w:rsidRDefault="00EB735E">
      <w:pPr>
        <w:pStyle w:val="TOC3"/>
      </w:pPr>
      <w:r>
        <w:rPr>
          <w:rFonts w:eastAsia="Arial Unicode MS" w:cs="Arial Unicode MS"/>
        </w:rPr>
        <w:t>ARTICLE 20 - Procedure for Termination</w:t>
      </w:r>
      <w:r>
        <w:rPr>
          <w:rFonts w:eastAsia="Arial Unicode MS" w:cs="Arial Unicode MS"/>
        </w:rPr>
        <w:tab/>
      </w:r>
      <w:r>
        <w:fldChar w:fldCharType="begin"/>
      </w:r>
      <w:r>
        <w:instrText xml:space="preserve"> PAGEREF _Toc18 \h </w:instrText>
      </w:r>
      <w:r>
        <w:fldChar w:fldCharType="separate"/>
      </w:r>
      <w:r>
        <w:rPr>
          <w:rFonts w:eastAsia="Arial Unicode MS" w:cs="Arial Unicode MS"/>
        </w:rPr>
        <w:t>18</w:t>
      </w:r>
      <w:r>
        <w:fldChar w:fldCharType="end"/>
      </w:r>
    </w:p>
    <w:p w:rsidR="005148A4" w:rsidRDefault="00EB735E">
      <w:pPr>
        <w:pStyle w:val="TOC3"/>
      </w:pPr>
      <w:r>
        <w:rPr>
          <w:rFonts w:eastAsia="Arial Unicode MS" w:cs="Arial Unicode MS"/>
        </w:rPr>
        <w:t>ARTICLE 21 - Take Over of Works</w:t>
      </w:r>
      <w:r>
        <w:rPr>
          <w:rFonts w:eastAsia="Arial Unicode MS" w:cs="Arial Unicode MS"/>
        </w:rPr>
        <w:tab/>
      </w:r>
      <w:r>
        <w:fldChar w:fldCharType="begin"/>
      </w:r>
      <w:r>
        <w:instrText xml:space="preserve"> PAGEREF _Toc19 \h </w:instrText>
      </w:r>
      <w:r>
        <w:fldChar w:fldCharType="separate"/>
      </w:r>
      <w:r>
        <w:rPr>
          <w:rFonts w:eastAsia="Arial Unicode MS" w:cs="Arial Unicode MS"/>
        </w:rPr>
        <w:t>20</w:t>
      </w:r>
      <w:r>
        <w:fldChar w:fldCharType="end"/>
      </w:r>
    </w:p>
    <w:p w:rsidR="005148A4" w:rsidRDefault="00EB735E">
      <w:pPr>
        <w:pStyle w:val="TOC3"/>
      </w:pPr>
      <w:r>
        <w:rPr>
          <w:rFonts w:eastAsia="Arial Unicode MS" w:cs="Arial Unicode MS"/>
        </w:rPr>
        <w:lastRenderedPageBreak/>
        <w:t>ARTICLE 22 - Liquidated Damages</w:t>
      </w:r>
      <w:r>
        <w:rPr>
          <w:rFonts w:eastAsia="Arial Unicode MS" w:cs="Arial Unicode MS"/>
        </w:rPr>
        <w:tab/>
      </w:r>
      <w:r>
        <w:fldChar w:fldCharType="begin"/>
      </w:r>
      <w:r>
        <w:instrText xml:space="preserve"> PAGEREF _Toc20 \h </w:instrText>
      </w:r>
      <w:r>
        <w:fldChar w:fldCharType="separate"/>
      </w:r>
      <w:r>
        <w:rPr>
          <w:rFonts w:eastAsia="Arial Unicode MS" w:cs="Arial Unicode MS"/>
        </w:rPr>
        <w:t>22</w:t>
      </w:r>
      <w:r>
        <w:fldChar w:fldCharType="end"/>
      </w:r>
    </w:p>
    <w:p w:rsidR="005148A4" w:rsidRDefault="00EB735E">
      <w:pPr>
        <w:pStyle w:val="TOC3"/>
      </w:pPr>
      <w:r>
        <w:rPr>
          <w:rFonts w:eastAsia="Arial Unicode MS" w:cs="Arial Unicode MS"/>
          <w:lang w:val="nl-NL"/>
        </w:rPr>
        <w:t>ARTICLE 23 - Attorney’s Fees</w:t>
      </w:r>
      <w:r>
        <w:rPr>
          <w:rFonts w:eastAsia="Arial Unicode MS" w:cs="Arial Unicode MS"/>
          <w:lang w:val="nl-NL"/>
        </w:rPr>
        <w:tab/>
      </w:r>
      <w:r>
        <w:fldChar w:fldCharType="begin"/>
      </w:r>
      <w:r>
        <w:instrText xml:space="preserve"> PAGEREF _Toc21 \h </w:instrText>
      </w:r>
      <w:r>
        <w:fldChar w:fldCharType="separate"/>
      </w:r>
      <w:r>
        <w:rPr>
          <w:rFonts w:eastAsia="Arial Unicode MS" w:cs="Arial Unicode MS"/>
        </w:rPr>
        <w:t>23</w:t>
      </w:r>
      <w:r>
        <w:fldChar w:fldCharType="end"/>
      </w:r>
    </w:p>
    <w:p w:rsidR="005148A4" w:rsidRDefault="00EB735E">
      <w:pPr>
        <w:pStyle w:val="TOC3"/>
      </w:pPr>
      <w:r>
        <w:rPr>
          <w:rFonts w:eastAsia="Arial Unicode MS" w:cs="Arial Unicode MS"/>
        </w:rPr>
        <w:t>ARTICLE 24 - Non indemnification and Application of Remedies</w:t>
      </w:r>
      <w:r>
        <w:rPr>
          <w:rFonts w:eastAsia="Arial Unicode MS" w:cs="Arial Unicode MS"/>
        </w:rPr>
        <w:tab/>
      </w:r>
      <w:r>
        <w:fldChar w:fldCharType="begin"/>
      </w:r>
      <w:r>
        <w:instrText xml:space="preserve"> PAGEREF _Toc22 \h </w:instrText>
      </w:r>
      <w:r>
        <w:fldChar w:fldCharType="separate"/>
      </w:r>
      <w:r>
        <w:rPr>
          <w:rFonts w:eastAsia="Arial Unicode MS" w:cs="Arial Unicode MS"/>
        </w:rPr>
        <w:t>23</w:t>
      </w:r>
      <w:r>
        <w:fldChar w:fldCharType="end"/>
      </w:r>
    </w:p>
    <w:p w:rsidR="005148A4" w:rsidRDefault="00EB735E">
      <w:pPr>
        <w:pStyle w:val="TOC3"/>
      </w:pPr>
      <w:r>
        <w:rPr>
          <w:rFonts w:eastAsia="Arial Unicode MS" w:cs="Arial Unicode MS"/>
        </w:rPr>
        <w:t>ARTICLE 25 - Settlement of Disputes</w:t>
      </w:r>
      <w:r>
        <w:rPr>
          <w:rFonts w:eastAsia="Arial Unicode MS" w:cs="Arial Unicode MS"/>
        </w:rPr>
        <w:tab/>
      </w:r>
      <w:r>
        <w:fldChar w:fldCharType="begin"/>
      </w:r>
      <w:r>
        <w:instrText xml:space="preserve"> PAGEREF _Toc23 \h </w:instrText>
      </w:r>
      <w:r>
        <w:fldChar w:fldCharType="separate"/>
      </w:r>
      <w:r>
        <w:rPr>
          <w:rFonts w:eastAsia="Arial Unicode MS" w:cs="Arial Unicode MS"/>
        </w:rPr>
        <w:t>24</w:t>
      </w:r>
      <w:r>
        <w:fldChar w:fldCharType="end"/>
      </w:r>
    </w:p>
    <w:p w:rsidR="005148A4" w:rsidRDefault="00EB735E">
      <w:pPr>
        <w:pStyle w:val="TOC3"/>
      </w:pPr>
      <w:r>
        <w:rPr>
          <w:rFonts w:eastAsia="Arial Unicode MS" w:cs="Arial Unicode MS"/>
        </w:rPr>
        <w:t>ARTICLE 26 - Miscellaneous provisions</w:t>
      </w:r>
      <w:r>
        <w:rPr>
          <w:rFonts w:eastAsia="Arial Unicode MS" w:cs="Arial Unicode MS"/>
        </w:rPr>
        <w:tab/>
      </w:r>
      <w:r>
        <w:fldChar w:fldCharType="begin"/>
      </w:r>
      <w:r>
        <w:instrText xml:space="preserve"> PAGEREF _Toc24 \h </w:instrText>
      </w:r>
      <w:r>
        <w:fldChar w:fldCharType="separate"/>
      </w:r>
      <w:r>
        <w:rPr>
          <w:rFonts w:eastAsia="Arial Unicode MS" w:cs="Arial Unicode MS"/>
        </w:rPr>
        <w:t>25</w:t>
      </w:r>
      <w:r>
        <w:fldChar w:fldCharType="end"/>
      </w:r>
    </w:p>
    <w:p w:rsidR="005148A4" w:rsidRDefault="00EB735E">
      <w:pPr>
        <w:pStyle w:val="TOC3"/>
      </w:pPr>
      <w:r>
        <w:rPr>
          <w:rFonts w:eastAsia="Arial Unicode MS" w:cs="Arial Unicode MS"/>
        </w:rPr>
        <w:t>ARTICLE 27 - Effectivity</w:t>
      </w:r>
      <w:r>
        <w:rPr>
          <w:rFonts w:eastAsia="Arial Unicode MS" w:cs="Arial Unicode MS"/>
        </w:rPr>
        <w:tab/>
      </w:r>
      <w:r>
        <w:fldChar w:fldCharType="begin"/>
      </w:r>
      <w:r>
        <w:instrText xml:space="preserve"> PAGEREF _Toc25 \h </w:instrText>
      </w:r>
      <w:r>
        <w:fldChar w:fldCharType="separate"/>
      </w:r>
      <w:r>
        <w:rPr>
          <w:rFonts w:eastAsia="Arial Unicode MS" w:cs="Arial Unicode MS"/>
        </w:rPr>
        <w:t>26</w:t>
      </w:r>
      <w:r>
        <w:fldChar w:fldCharType="end"/>
      </w:r>
    </w:p>
    <w:p w:rsidR="005148A4" w:rsidRDefault="00EB735E">
      <w:pPr>
        <w:widowControl w:val="0"/>
        <w:spacing w:line="192" w:lineRule="auto"/>
        <w:ind w:left="127" w:right="104" w:firstLine="720"/>
        <w:jc w:val="center"/>
        <w:rPr>
          <w:rFonts w:ascii="Spectral Regular" w:eastAsia="Spectral Regular" w:hAnsi="Spectral Regular" w:cs="Spectral Regular"/>
          <w:u w:color="000000"/>
        </w:rPr>
      </w:pPr>
      <w:r>
        <w:fldChar w:fldCharType="end"/>
      </w:r>
    </w:p>
    <w:p w:rsidR="005148A4" w:rsidRDefault="00EB735E">
      <w:pPr>
        <w:pStyle w:val="Subtitle"/>
      </w:pPr>
      <w:bookmarkStart w:id="0" w:name="_Toc"/>
      <w:r>
        <w:rPr>
          <w:rStyle w:val="NoneA"/>
          <w:rFonts w:eastAsia="Arial Unicode MS" w:cs="Arial Unicode MS"/>
        </w:rPr>
        <w:t>ARTICLE 1 - Definition of Terms</w:t>
      </w:r>
      <w:bookmarkEnd w:id="0"/>
    </w:p>
    <w:p w:rsidR="005148A4" w:rsidRDefault="00EB735E">
      <w:pPr>
        <w:pStyle w:val="Default"/>
        <w:widowControl w:val="0"/>
        <w:spacing w:before="0" w:after="100" w:line="192" w:lineRule="auto"/>
        <w:ind w:left="127" w:right="104" w:firstLine="720"/>
        <w:jc w:val="both"/>
        <w:rPr>
          <w:rFonts w:ascii="Spectral Regular" w:eastAsia="Spectral Regular" w:hAnsi="Spectral Regular" w:cs="Spectral Regular"/>
        </w:rPr>
      </w:pPr>
      <w:r>
        <w:rPr>
          <w:rFonts w:ascii="Spectral SemiBold" w:hAnsi="Spectral SemiBold"/>
        </w:rPr>
        <w:t>Applicable Laws</w:t>
      </w:r>
      <w:r>
        <w:rPr>
          <w:rFonts w:ascii="Spectral Regular" w:hAnsi="Spectral Regular"/>
        </w:rPr>
        <w:t>. Refers to the laws, rules, regulations issued by the Republic of the Philippines through its executive, legislative and judicial branches that are applicable for the implementation, regulation and compliance with in relation to specific provisions of this contract.</w:t>
      </w:r>
    </w:p>
    <w:p w:rsidR="005148A4" w:rsidRDefault="00EB735E">
      <w:pPr>
        <w:pStyle w:val="Default"/>
        <w:widowControl w:val="0"/>
        <w:spacing w:before="0" w:after="100" w:line="192" w:lineRule="auto"/>
        <w:ind w:left="127" w:right="104" w:firstLine="720"/>
        <w:jc w:val="both"/>
        <w:rPr>
          <w:rFonts w:ascii="Spectral Regular" w:eastAsia="Spectral Regular" w:hAnsi="Spectral Regular" w:cs="Spectral Regular"/>
        </w:rPr>
      </w:pPr>
      <w:r>
        <w:rPr>
          <w:rFonts w:ascii="Spectral SemiBold" w:hAnsi="Spectral SemiBold"/>
        </w:rPr>
        <w:t xml:space="preserve">Approved Budget for the Contract </w:t>
      </w:r>
      <w:r>
        <w:rPr>
          <w:rFonts w:ascii="Spectral Regular" w:hAnsi="Spectral Regular"/>
        </w:rPr>
        <w:t xml:space="preserve">(ABC).  Refers to the budget for the contract duly approved by the </w:t>
      </w:r>
      <w:proofErr w:type="spellStart"/>
      <w:r>
        <w:rPr>
          <w:rFonts w:ascii="Spectral Regular" w:hAnsi="Spectral Regular"/>
        </w:rPr>
        <w:t>HoPE</w:t>
      </w:r>
      <w:proofErr w:type="spellEnd"/>
      <w:r>
        <w:rPr>
          <w:rFonts w:ascii="Spectral Regular" w:hAnsi="Spectral Regular"/>
        </w:rPr>
        <w:t>, as provided for in R.A. 8292 in the case of State Universities and Colleges.</w:t>
      </w:r>
    </w:p>
    <w:p w:rsidR="005148A4" w:rsidRDefault="00EB735E">
      <w:pPr>
        <w:pStyle w:val="Default"/>
        <w:widowControl w:val="0"/>
        <w:spacing w:before="0" w:after="100" w:line="192" w:lineRule="auto"/>
        <w:ind w:left="127" w:right="104" w:firstLine="720"/>
        <w:jc w:val="both"/>
        <w:rPr>
          <w:rFonts w:ascii="Spectral Regular" w:eastAsia="Spectral Regular" w:hAnsi="Spectral Regular" w:cs="Spectral Regular"/>
        </w:rPr>
      </w:pPr>
      <w:r>
        <w:rPr>
          <w:rFonts w:ascii="Spectral SemiBold" w:hAnsi="Spectral SemiBold"/>
        </w:rPr>
        <w:t>Bid.</w:t>
      </w:r>
      <w:r>
        <w:rPr>
          <w:rFonts w:ascii="Spectral Regular" w:hAnsi="Spectral Regular"/>
        </w:rPr>
        <w:t xml:space="preserve"> Refers to a signed offer or proposal to undertake a contract submitted by a bidder in response to and in consonance with the requirements of the Bidding Documents.</w:t>
      </w:r>
    </w:p>
    <w:p w:rsidR="005148A4" w:rsidRDefault="00EB735E">
      <w:pPr>
        <w:pStyle w:val="Default"/>
        <w:widowControl w:val="0"/>
        <w:spacing w:before="0" w:after="100" w:line="192" w:lineRule="auto"/>
        <w:ind w:left="127" w:right="104" w:firstLine="720"/>
        <w:jc w:val="both"/>
        <w:rPr>
          <w:rFonts w:ascii="Spectral Regular" w:eastAsia="Spectral Regular" w:hAnsi="Spectral Regular" w:cs="Spectral Regular"/>
        </w:rPr>
      </w:pPr>
      <w:r>
        <w:rPr>
          <w:rFonts w:ascii="Spectral SemiBold" w:hAnsi="Spectral SemiBold"/>
        </w:rPr>
        <w:t>Bidder</w:t>
      </w:r>
      <w:r>
        <w:rPr>
          <w:rFonts w:ascii="Spectral Regular" w:hAnsi="Spectral Regular"/>
        </w:rPr>
        <w:t xml:space="preserve">. Refers to a contractor, manufacturer, supplier, distributor and/or consultant who submits a bid in response to the requirements of the Bidding Documents. </w:t>
      </w:r>
    </w:p>
    <w:p w:rsidR="005148A4" w:rsidRDefault="00EB735E">
      <w:pPr>
        <w:pStyle w:val="Default"/>
        <w:widowControl w:val="0"/>
        <w:spacing w:before="0" w:after="100" w:line="192" w:lineRule="auto"/>
        <w:ind w:left="127" w:right="104" w:firstLine="720"/>
        <w:jc w:val="both"/>
        <w:rPr>
          <w:rFonts w:ascii="Spectral Regular" w:eastAsia="Spectral Regular" w:hAnsi="Spectral Regular" w:cs="Spectral Regular"/>
        </w:rPr>
      </w:pPr>
      <w:r>
        <w:rPr>
          <w:rFonts w:ascii="Spectral SemiBold" w:hAnsi="Spectral SemiBold"/>
        </w:rPr>
        <w:t>Bidding Documents</w:t>
      </w:r>
      <w:r>
        <w:rPr>
          <w:rFonts w:ascii="Spectral Regular" w:hAnsi="Spectral Regular"/>
        </w:rPr>
        <w:t xml:space="preserve">. Refer to the documents issued by the Procuring Entity as the basis for bids, furnishing all information necessary for a prospective bidder to prepare a bid for the Goods, Infrastructure Projects and/or Consulting Services required by the Procuring Entity. </w:t>
      </w:r>
    </w:p>
    <w:p w:rsidR="005148A4" w:rsidRDefault="00EB735E">
      <w:pPr>
        <w:pStyle w:val="Default"/>
        <w:widowControl w:val="0"/>
        <w:spacing w:before="0" w:after="100" w:line="192" w:lineRule="auto"/>
        <w:ind w:left="127" w:right="104" w:firstLine="720"/>
        <w:jc w:val="both"/>
        <w:rPr>
          <w:rFonts w:ascii="Spectral Regular" w:eastAsia="Spectral Regular" w:hAnsi="Spectral Regular" w:cs="Spectral Regular"/>
        </w:rPr>
      </w:pPr>
      <w:r>
        <w:rPr>
          <w:rFonts w:ascii="Spectral SemiBold" w:hAnsi="Spectral SemiBold"/>
        </w:rPr>
        <w:t>Bids and Awards Committee (BAC).</w:t>
      </w:r>
      <w:r>
        <w:rPr>
          <w:rFonts w:ascii="Spectral Regular" w:hAnsi="Spectral Regular"/>
        </w:rPr>
        <w:t xml:space="preserve"> Refers to the Committee established in accordance with Rule V of the IRR of R.A. 9184.</w:t>
      </w:r>
    </w:p>
    <w:p w:rsidR="005148A4" w:rsidRDefault="00EB735E">
      <w:pPr>
        <w:pStyle w:val="Default"/>
        <w:widowControl w:val="0"/>
        <w:spacing w:before="0" w:after="100" w:line="192" w:lineRule="auto"/>
        <w:ind w:left="127" w:right="104" w:firstLine="720"/>
        <w:jc w:val="both"/>
        <w:rPr>
          <w:rFonts w:ascii="Spectral Regular" w:eastAsia="Spectral Regular" w:hAnsi="Spectral Regular" w:cs="Spectral Regular"/>
        </w:rPr>
      </w:pPr>
      <w:r>
        <w:rPr>
          <w:rFonts w:ascii="Spectral SemiBold" w:hAnsi="Spectral SemiBold"/>
        </w:rPr>
        <w:t>Competitive Bidding.</w:t>
      </w:r>
      <w:r>
        <w:rPr>
          <w:rFonts w:ascii="Spectral Regular" w:hAnsi="Spectral Regular"/>
        </w:rPr>
        <w:t xml:space="preserve"> Refers to a method of procurement which is open to participation by any interested party and which consists of the following processes: advertisement, pre-bid conference, eligibility screening of prospective bidders, receipt and opening of bids, evaluation of bids, post-qualification, and award of contract.</w:t>
      </w:r>
    </w:p>
    <w:p w:rsidR="005148A4" w:rsidRDefault="00EB735E">
      <w:pPr>
        <w:pStyle w:val="Default"/>
        <w:widowControl w:val="0"/>
        <w:spacing w:before="0" w:after="100" w:line="192" w:lineRule="auto"/>
        <w:ind w:left="127" w:right="104" w:firstLine="720"/>
        <w:jc w:val="both"/>
        <w:rPr>
          <w:rFonts w:ascii="Spectral SemiBold" w:eastAsia="Spectral SemiBold" w:hAnsi="Spectral SemiBold" w:cs="Spectral SemiBold"/>
        </w:rPr>
      </w:pPr>
      <w:r>
        <w:rPr>
          <w:rFonts w:ascii="Spectral SemiBold" w:hAnsi="Spectral SemiBold"/>
        </w:rPr>
        <w:t>Domestic Entity.</w:t>
      </w:r>
      <w:r>
        <w:rPr>
          <w:rFonts w:ascii="Spectral Regular" w:hAnsi="Spectral Regular"/>
        </w:rPr>
        <w:t xml:space="preserve"> Refers to an individual or a sole proprietor who is a citizen of the Philippines or a partnership, corporation, cooperative, or association duly organized under the laws of the Philippines and of which at least seventy five percent (75%) of the interest or outstanding capital stock belongs to citizens of the Philippines, habitually established in business and habitually engaged in the manufacture or sale of the merchandise covered by his bid, and the business has been in existence for at least five (5) consecutive years prior to the advertisement and/or posting of the Invitation to Bid.</w:t>
      </w:r>
    </w:p>
    <w:p w:rsidR="005148A4" w:rsidRDefault="00EB735E">
      <w:pPr>
        <w:pStyle w:val="Default"/>
        <w:widowControl w:val="0"/>
        <w:spacing w:before="0" w:after="100" w:line="192" w:lineRule="auto"/>
        <w:ind w:left="127" w:right="104" w:firstLine="720"/>
        <w:jc w:val="both"/>
        <w:rPr>
          <w:rFonts w:ascii="Spectral Regular" w:eastAsia="Spectral Regular" w:hAnsi="Spectral Regular" w:cs="Spectral Regular"/>
        </w:rPr>
      </w:pPr>
      <w:r>
        <w:rPr>
          <w:rFonts w:ascii="Spectral SemiBold" w:hAnsi="Spectral SemiBold"/>
        </w:rPr>
        <w:t>Goods</w:t>
      </w:r>
      <w:r>
        <w:rPr>
          <w:rFonts w:ascii="Spectral Regular" w:hAnsi="Spectral Regular"/>
        </w:rPr>
        <w:t xml:space="preserve">. Refer to all items, supplies, materials and </w:t>
      </w:r>
      <w:r>
        <w:rPr>
          <w:rFonts w:ascii="Spectral Regular" w:hAnsi="Spectral Regular"/>
          <w:i/>
          <w:iCs/>
        </w:rPr>
        <w:t>general support services</w:t>
      </w:r>
      <w:r>
        <w:rPr>
          <w:rFonts w:ascii="Spectral Regular" w:hAnsi="Spectral Regular"/>
        </w:rPr>
        <w:t>, except Consulting Services and infrastructure projects, which may be needed in the transaction of public businesses or in the pursuit of any government undertaking, project or activity, whether in the nature of equipment, furniture, stationery, materials for construction, or personal property of any kind, including non-personal or contractual services, such as, the repair and maintenance of equipment and furniture, as well as truck</w:t>
      </w:r>
      <w:r>
        <w:rPr>
          <w:rFonts w:ascii="Spectral Regular" w:hAnsi="Spectral Regular"/>
        </w:rPr>
        <w:lastRenderedPageBreak/>
        <w:t xml:space="preserve">ing, hauling, janitorial, security, and related or analogous services, as well as procurement of materials and supplies provided by the Procuring Entity for such services. The term “related” or “analogous services” shall include, but is not limited to, lease of office space, media advertisements, health maintenance services, and other services essential to the operation of the Procuring Entity. </w:t>
      </w:r>
    </w:p>
    <w:p w:rsidR="005148A4" w:rsidRDefault="00EB735E">
      <w:pPr>
        <w:pStyle w:val="Default"/>
        <w:widowControl w:val="0"/>
        <w:spacing w:before="0" w:after="100" w:line="192" w:lineRule="auto"/>
        <w:ind w:left="127" w:right="104" w:firstLine="720"/>
        <w:jc w:val="both"/>
        <w:rPr>
          <w:rFonts w:ascii="Spectral Regular" w:eastAsia="Spectral Regular" w:hAnsi="Spectral Regular" w:cs="Spectral Regular"/>
        </w:rPr>
      </w:pPr>
      <w:r>
        <w:rPr>
          <w:rFonts w:ascii="Spectral SemiBold" w:hAnsi="Spectral SemiBold"/>
        </w:rPr>
        <w:t>Head of the Procuring Entity (</w:t>
      </w:r>
      <w:proofErr w:type="spellStart"/>
      <w:r>
        <w:rPr>
          <w:rFonts w:ascii="Spectral SemiBold" w:hAnsi="Spectral SemiBold"/>
        </w:rPr>
        <w:t>HoPE</w:t>
      </w:r>
      <w:proofErr w:type="spellEnd"/>
      <w:r>
        <w:rPr>
          <w:rFonts w:ascii="Spectral SemiBold" w:hAnsi="Spectral SemiBold"/>
        </w:rPr>
        <w:t>).</w:t>
      </w:r>
      <w:r>
        <w:rPr>
          <w:rFonts w:ascii="Spectral Regular" w:hAnsi="Spectral Regular"/>
        </w:rPr>
        <w:t xml:space="preserve"> Refers to: the Board of Regents or its duly authorized official, </w:t>
      </w:r>
      <w:r>
        <w:rPr>
          <w:rFonts w:ascii="Spectral Regular" w:hAnsi="Spectral Regular"/>
          <w:i/>
          <w:iCs/>
        </w:rPr>
        <w:t>Provided,</w:t>
      </w:r>
      <w:r>
        <w:rPr>
          <w:rFonts w:ascii="Spectral Regular" w:hAnsi="Spectral Regular"/>
        </w:rPr>
        <w:t xml:space="preserve"> however, </w:t>
      </w:r>
      <w:proofErr w:type="gramStart"/>
      <w:r>
        <w:rPr>
          <w:rFonts w:ascii="Spectral Regular" w:hAnsi="Spectral Regular"/>
        </w:rPr>
        <w:t>That</w:t>
      </w:r>
      <w:proofErr w:type="gramEnd"/>
      <w:r>
        <w:rPr>
          <w:rFonts w:ascii="Spectral Regular" w:hAnsi="Spectral Regular"/>
        </w:rPr>
        <w:t xml:space="preserve"> in an agency, department, or office where the procurement is decentralized, the head of each decentralized unit shall be considered as the </w:t>
      </w:r>
      <w:proofErr w:type="spellStart"/>
      <w:r>
        <w:rPr>
          <w:rFonts w:ascii="Spectral Regular" w:hAnsi="Spectral Regular"/>
        </w:rPr>
        <w:t>HoPE</w:t>
      </w:r>
      <w:proofErr w:type="spellEnd"/>
      <w:r>
        <w:rPr>
          <w:rFonts w:ascii="Spectral Regular" w:hAnsi="Spectral Regular"/>
        </w:rPr>
        <w:t xml:space="preserve">, subject to the limitations and authority delegated by the head of the agency, department, or office. For this contract, the </w:t>
      </w:r>
      <w:proofErr w:type="spellStart"/>
      <w:r>
        <w:rPr>
          <w:rFonts w:ascii="Spectral Regular" w:hAnsi="Spectral Regular"/>
        </w:rPr>
        <w:t>HoPE</w:t>
      </w:r>
      <w:proofErr w:type="spellEnd"/>
      <w:r>
        <w:rPr>
          <w:rFonts w:ascii="Spectral Regular" w:hAnsi="Spectral Regular"/>
        </w:rPr>
        <w:t xml:space="preserve"> is the Chancellor of the University of the Philippines Manila.</w:t>
      </w:r>
    </w:p>
    <w:p w:rsidR="005148A4" w:rsidRDefault="00EB735E">
      <w:pPr>
        <w:pStyle w:val="Default"/>
        <w:widowControl w:val="0"/>
        <w:spacing w:before="0" w:after="100" w:line="192" w:lineRule="auto"/>
        <w:ind w:left="127" w:right="104" w:firstLine="720"/>
        <w:jc w:val="both"/>
        <w:rPr>
          <w:rFonts w:ascii="Spectral Regular" w:eastAsia="Spectral Regular" w:hAnsi="Spectral Regular" w:cs="Spectral Regular"/>
        </w:rPr>
      </w:pPr>
      <w:r>
        <w:rPr>
          <w:rFonts w:ascii="Spectral SemiBold" w:hAnsi="Spectral SemiBold"/>
        </w:rPr>
        <w:t>Philippine Government Electronic Procurement System (</w:t>
      </w:r>
      <w:proofErr w:type="spellStart"/>
      <w:r>
        <w:rPr>
          <w:rFonts w:ascii="Spectral SemiBold" w:hAnsi="Spectral SemiBold"/>
        </w:rPr>
        <w:t>PhilGEPS</w:t>
      </w:r>
      <w:proofErr w:type="spellEnd"/>
      <w:r>
        <w:rPr>
          <w:rFonts w:ascii="Spectral SemiBold" w:hAnsi="Spectral SemiBold"/>
        </w:rPr>
        <w:t>).</w:t>
      </w:r>
      <w:r>
        <w:rPr>
          <w:rFonts w:ascii="Spectral Regular" w:hAnsi="Spectral Regular"/>
        </w:rPr>
        <w:t xml:space="preserve"> Refers to the electronic System as provided in Section 8 of this IRR. </w:t>
      </w:r>
    </w:p>
    <w:p w:rsidR="005148A4" w:rsidRDefault="00EB735E">
      <w:pPr>
        <w:pStyle w:val="Default"/>
        <w:widowControl w:val="0"/>
        <w:spacing w:before="0" w:after="100" w:line="192" w:lineRule="auto"/>
        <w:ind w:left="127" w:right="104" w:firstLine="720"/>
        <w:jc w:val="both"/>
        <w:rPr>
          <w:rFonts w:ascii="Spectral Regular" w:eastAsia="Spectral Regular" w:hAnsi="Spectral Regular" w:cs="Spectral Regular"/>
        </w:rPr>
      </w:pPr>
      <w:r>
        <w:rPr>
          <w:rFonts w:ascii="Spectral SemiBold" w:hAnsi="Spectral SemiBold"/>
        </w:rPr>
        <w:t xml:space="preserve">Procurement. </w:t>
      </w:r>
      <w:r>
        <w:rPr>
          <w:rFonts w:ascii="Spectral Regular" w:hAnsi="Spectral Regular"/>
        </w:rPr>
        <w:t>Refers to the acquisition of goods, consulting services, and the contracting for infrastructure projects by the Procuring Entity. In case of projects involving mixed procurements, the nature of the procurement, i.e., Goods, Infrastructure Projects or Consulting Services, shall be determined based on the primary purpose of the contract.</w:t>
      </w:r>
    </w:p>
    <w:p w:rsidR="005148A4" w:rsidRDefault="00EB735E">
      <w:pPr>
        <w:pStyle w:val="Default"/>
        <w:widowControl w:val="0"/>
        <w:spacing w:before="0" w:after="100" w:line="192" w:lineRule="auto"/>
        <w:ind w:left="127" w:right="104" w:firstLine="720"/>
        <w:jc w:val="both"/>
        <w:rPr>
          <w:rFonts w:ascii="Spectral Regular" w:eastAsia="Spectral Regular" w:hAnsi="Spectral Regular" w:cs="Spectral Regular"/>
        </w:rPr>
      </w:pPr>
      <w:r>
        <w:rPr>
          <w:rFonts w:ascii="Spectral SemiBold" w:hAnsi="Spectral SemiBold"/>
        </w:rPr>
        <w:t xml:space="preserve">Procuring Entity. </w:t>
      </w:r>
      <w:r>
        <w:rPr>
          <w:rFonts w:ascii="Spectral Regular" w:hAnsi="Spectral Regular"/>
        </w:rPr>
        <w:t xml:space="preserve">Refers to any branch, constitutional commission or office, agency, department, bureau, office, or instrumentality of the </w:t>
      </w:r>
      <w:proofErr w:type="spellStart"/>
      <w:r>
        <w:rPr>
          <w:rFonts w:ascii="Spectral Regular" w:hAnsi="Spectral Regular"/>
        </w:rPr>
        <w:t>GoP</w:t>
      </w:r>
      <w:proofErr w:type="spellEnd"/>
      <w:r>
        <w:rPr>
          <w:rFonts w:ascii="Spectral Regular" w:hAnsi="Spectral Regular"/>
        </w:rPr>
        <w:t xml:space="preserve"> (NGA), including GOCC, GFI, SUC and LGU procuring goods, infrastructure projects and consulting services. In this contract, the procuring entity is the University of the Philippines.</w:t>
      </w:r>
    </w:p>
    <w:p w:rsidR="005148A4" w:rsidRDefault="00EB735E">
      <w:pPr>
        <w:pStyle w:val="Default"/>
        <w:widowControl w:val="0"/>
        <w:spacing w:before="0" w:after="180" w:line="192" w:lineRule="auto"/>
        <w:ind w:left="127" w:right="104" w:firstLine="720"/>
        <w:jc w:val="both"/>
        <w:rPr>
          <w:rFonts w:ascii="Spectral Regular" w:eastAsia="Spectral Regular" w:hAnsi="Spectral Regular" w:cs="Spectral Regular"/>
        </w:rPr>
      </w:pPr>
      <w:r>
        <w:rPr>
          <w:rFonts w:ascii="Spectral SemiBold" w:hAnsi="Spectral SemiBold"/>
        </w:rPr>
        <w:t>Universal or Commercial Banks.</w:t>
      </w:r>
      <w:r>
        <w:rPr>
          <w:rFonts w:ascii="Spectral Regular" w:hAnsi="Spectral Regular"/>
        </w:rPr>
        <w:t xml:space="preserve"> Refer to universal or commercial banks duly authorized under R.A. 8791, otherwise known as “The General Banking Act of 2000.”</w:t>
      </w:r>
    </w:p>
    <w:p w:rsidR="005148A4" w:rsidRDefault="00EB735E">
      <w:pPr>
        <w:pStyle w:val="Subtitle"/>
      </w:pPr>
      <w:bookmarkStart w:id="1" w:name="_Toc1"/>
      <w:r>
        <w:rPr>
          <w:rStyle w:val="NoneA"/>
          <w:rFonts w:eastAsia="Arial Unicode MS" w:cs="Arial Unicode MS"/>
        </w:rPr>
        <w:t>ARTICLE 2 - Contract Documents</w:t>
      </w:r>
      <w:bookmarkEnd w:id="1"/>
    </w:p>
    <w:p w:rsidR="005148A4" w:rsidRDefault="00EB735E">
      <w:pPr>
        <w:pStyle w:val="Default"/>
        <w:widowControl w:val="0"/>
        <w:spacing w:before="0"/>
        <w:ind w:left="847"/>
        <w:rPr>
          <w:rFonts w:ascii="Spectral Regular" w:eastAsia="Spectral Regular" w:hAnsi="Spectral Regular" w:cs="Spectral Regular"/>
        </w:rPr>
      </w:pPr>
      <w:r>
        <w:rPr>
          <w:rFonts w:ascii="Spectral Regular" w:hAnsi="Spectral Regular"/>
        </w:rPr>
        <w:t>Section 1. The following Contract Documents are integral parts of this Contract:</w:t>
      </w:r>
    </w:p>
    <w:p w:rsidR="005148A4" w:rsidRDefault="00EB735E">
      <w:pPr>
        <w:pStyle w:val="Default"/>
        <w:widowControl w:val="0"/>
        <w:numPr>
          <w:ilvl w:val="0"/>
          <w:numId w:val="2"/>
        </w:numPr>
        <w:spacing w:before="0" w:line="216" w:lineRule="auto"/>
        <w:rPr>
          <w:rFonts w:ascii="Spectral Regular" w:hAnsi="Spectral Regular"/>
        </w:rPr>
      </w:pPr>
      <w:r>
        <w:rPr>
          <w:rFonts w:ascii="Spectral Regular" w:hAnsi="Spectral Regular"/>
        </w:rPr>
        <w:t>Invitation to Bid (Annex "A");</w:t>
      </w:r>
    </w:p>
    <w:p w:rsidR="005148A4" w:rsidRDefault="00EB735E">
      <w:pPr>
        <w:pStyle w:val="Default"/>
        <w:widowControl w:val="0"/>
        <w:numPr>
          <w:ilvl w:val="0"/>
          <w:numId w:val="3"/>
        </w:numPr>
        <w:spacing w:before="0" w:line="216" w:lineRule="auto"/>
        <w:ind w:right="109"/>
        <w:rPr>
          <w:rFonts w:ascii="Spectral Regular" w:hAnsi="Spectral Regular"/>
        </w:rPr>
      </w:pPr>
      <w:r>
        <w:rPr>
          <w:rFonts w:ascii="Spectral Regular" w:hAnsi="Spectral Regular"/>
        </w:rPr>
        <w:t>Bidding Documents including General and Special Conditions of the Contract, the Addenda, and Supplemental/Bid Bulletins (Annex "B");</w:t>
      </w:r>
    </w:p>
    <w:p w:rsidR="005148A4" w:rsidRDefault="00EB735E">
      <w:pPr>
        <w:pStyle w:val="Default"/>
        <w:widowControl w:val="0"/>
        <w:numPr>
          <w:ilvl w:val="0"/>
          <w:numId w:val="2"/>
        </w:numPr>
        <w:spacing w:before="0" w:line="216" w:lineRule="auto"/>
        <w:rPr>
          <w:rFonts w:ascii="Spectral Regular" w:hAnsi="Spectral Regular"/>
        </w:rPr>
      </w:pPr>
      <w:r>
        <w:rPr>
          <w:rFonts w:ascii="Spectral Regular" w:hAnsi="Spectral Regular"/>
        </w:rPr>
        <w:t>Scope of Works and Technical Speciﬁcations (Annex "C");</w:t>
      </w:r>
    </w:p>
    <w:p w:rsidR="005148A4" w:rsidRDefault="00EB735E">
      <w:pPr>
        <w:pStyle w:val="Default"/>
        <w:widowControl w:val="0"/>
        <w:numPr>
          <w:ilvl w:val="0"/>
          <w:numId w:val="2"/>
        </w:numPr>
        <w:spacing w:before="0" w:line="216" w:lineRule="auto"/>
        <w:rPr>
          <w:rFonts w:ascii="Spectral Regular" w:hAnsi="Spectral Regular"/>
        </w:rPr>
      </w:pPr>
      <w:r>
        <w:rPr>
          <w:rFonts w:ascii="Spectral Regular" w:hAnsi="Spectral Regular"/>
        </w:rPr>
        <w:t>Eligibility requirements, documents and statements (Annex "D");</w:t>
      </w:r>
    </w:p>
    <w:p w:rsidR="005148A4" w:rsidRDefault="00EB735E">
      <w:pPr>
        <w:pStyle w:val="Default"/>
        <w:widowControl w:val="0"/>
        <w:numPr>
          <w:ilvl w:val="0"/>
          <w:numId w:val="3"/>
        </w:numPr>
        <w:spacing w:before="0" w:line="216" w:lineRule="auto"/>
        <w:ind w:right="111"/>
        <w:rPr>
          <w:rFonts w:ascii="Spectral Regular" w:hAnsi="Spectral Regular"/>
        </w:rPr>
      </w:pPr>
      <w:r>
        <w:rPr>
          <w:rFonts w:ascii="Spectral Regular" w:hAnsi="Spectral Regular"/>
        </w:rPr>
        <w:t>Bid Form including all documents contained in the CONTRACTOR's technical and ﬁnancial envelopes (Annex "E");</w:t>
      </w:r>
    </w:p>
    <w:p w:rsidR="005148A4" w:rsidRDefault="00EB735E">
      <w:pPr>
        <w:pStyle w:val="Default"/>
        <w:widowControl w:val="0"/>
        <w:numPr>
          <w:ilvl w:val="0"/>
          <w:numId w:val="4"/>
        </w:numPr>
        <w:spacing w:before="0" w:line="216" w:lineRule="auto"/>
        <w:rPr>
          <w:rFonts w:ascii="Spectral Regular" w:hAnsi="Spectral Regular"/>
        </w:rPr>
      </w:pPr>
      <w:r>
        <w:rPr>
          <w:rFonts w:ascii="Spectral Regular" w:hAnsi="Spectral Regular"/>
        </w:rPr>
        <w:t>Notice of Award with the Contractor's acceptance thereon (ANNEX "F");</w:t>
      </w:r>
    </w:p>
    <w:p w:rsidR="005148A4" w:rsidRDefault="00EB735E">
      <w:pPr>
        <w:pStyle w:val="Default"/>
        <w:widowControl w:val="0"/>
        <w:numPr>
          <w:ilvl w:val="0"/>
          <w:numId w:val="2"/>
        </w:numPr>
        <w:spacing w:before="0" w:line="216" w:lineRule="auto"/>
        <w:rPr>
          <w:rFonts w:ascii="Spectral Regular" w:hAnsi="Spectral Regular"/>
        </w:rPr>
      </w:pPr>
      <w:r>
        <w:rPr>
          <w:rFonts w:ascii="Spectral Regular" w:hAnsi="Spectral Regular"/>
        </w:rPr>
        <w:t>Performance Security (ANNEX "G");</w:t>
      </w:r>
    </w:p>
    <w:p w:rsidR="005148A4" w:rsidRDefault="00EB735E">
      <w:pPr>
        <w:pStyle w:val="Default"/>
        <w:widowControl w:val="0"/>
        <w:numPr>
          <w:ilvl w:val="0"/>
          <w:numId w:val="2"/>
        </w:numPr>
        <w:spacing w:before="0" w:line="216" w:lineRule="auto"/>
        <w:rPr>
          <w:rFonts w:ascii="Spectral Regular" w:hAnsi="Spectral Regular"/>
        </w:rPr>
      </w:pPr>
      <w:r>
        <w:rPr>
          <w:rFonts w:ascii="Spectral Regular" w:hAnsi="Spectral Regular"/>
        </w:rPr>
        <w:t>Drawings (ANNEX "H");</w:t>
      </w:r>
    </w:p>
    <w:p w:rsidR="005148A4" w:rsidRDefault="00EB735E">
      <w:pPr>
        <w:pStyle w:val="Default"/>
        <w:widowControl w:val="0"/>
        <w:numPr>
          <w:ilvl w:val="0"/>
          <w:numId w:val="4"/>
        </w:numPr>
        <w:spacing w:before="0" w:after="80"/>
        <w:rPr>
          <w:rFonts w:ascii="Spectral Regular" w:hAnsi="Spectral Regular"/>
        </w:rPr>
      </w:pPr>
      <w:r>
        <w:rPr>
          <w:rFonts w:ascii="Spectral Regular" w:hAnsi="Spectral Regular"/>
        </w:rPr>
        <w:t>Bill of Quantities (Annex "I").</w:t>
      </w:r>
    </w:p>
    <w:p w:rsidR="005148A4" w:rsidRDefault="00EB735E">
      <w:pPr>
        <w:pStyle w:val="Default"/>
        <w:widowControl w:val="0"/>
        <w:spacing w:before="0" w:after="200"/>
        <w:ind w:left="127" w:right="104" w:firstLine="720"/>
        <w:jc w:val="both"/>
        <w:rPr>
          <w:rFonts w:ascii="Spectral Regular" w:eastAsia="Spectral Regular" w:hAnsi="Spectral Regular" w:cs="Spectral Regular"/>
        </w:rPr>
      </w:pPr>
      <w:r>
        <w:rPr>
          <w:rFonts w:ascii="Spectral Regular" w:hAnsi="Spectral Regular"/>
        </w:rPr>
        <w:t>Section 2. The terms, conditions, stipulations, and warranties under the foregoing Contract Documents are deemed part of this Contract.</w:t>
      </w:r>
    </w:p>
    <w:p w:rsidR="005148A4" w:rsidRDefault="00EB735E">
      <w:pPr>
        <w:pStyle w:val="Subtitle"/>
      </w:pPr>
      <w:bookmarkStart w:id="2" w:name="_Toc2"/>
      <w:r>
        <w:rPr>
          <w:rStyle w:val="NoneA"/>
          <w:rFonts w:eastAsia="Arial Unicode MS" w:cs="Arial Unicode MS"/>
        </w:rPr>
        <w:t>ARTICLE 3 - Use of Contract Documents</w:t>
      </w:r>
      <w:bookmarkEnd w:id="2"/>
    </w:p>
    <w:p w:rsidR="005148A4" w:rsidRDefault="00EB735E">
      <w:pPr>
        <w:pStyle w:val="Default"/>
        <w:widowControl w:val="0"/>
        <w:spacing w:before="0"/>
        <w:ind w:left="127" w:right="103" w:firstLine="720"/>
        <w:jc w:val="both"/>
        <w:rPr>
          <w:rFonts w:ascii="Spectral Regular" w:eastAsia="Spectral Regular" w:hAnsi="Spectral Regular" w:cs="Spectral Regular"/>
        </w:rPr>
      </w:pPr>
      <w:r>
        <w:rPr>
          <w:rFonts w:ascii="Spectral Regular" w:hAnsi="Spectral Regular"/>
        </w:rPr>
        <w:t xml:space="preserve">Section 1. The CONTRACTOR shall not, except for the purpose of performing its obligations in this Contract, disclose this Contract or any provisions thereof as well </w:t>
      </w:r>
      <w:r>
        <w:rPr>
          <w:rFonts w:ascii="Spectral Regular" w:hAnsi="Spectral Regular"/>
        </w:rPr>
        <w:lastRenderedPageBreak/>
        <w:t>as other information that may have been provided to the CONTRACTOR such as but not limited to any plans, layout, drawing of the areas of responsibility and the buildings and properties built or contained therein to third-parties.</w:t>
      </w:r>
    </w:p>
    <w:p w:rsidR="005148A4" w:rsidRDefault="005148A4">
      <w:pPr>
        <w:pStyle w:val="Default"/>
        <w:widowControl w:val="0"/>
        <w:spacing w:before="0"/>
        <w:ind w:left="832"/>
        <w:rPr>
          <w:rFonts w:ascii="Spectral Regular" w:eastAsia="Spectral Regular" w:hAnsi="Spectral Regular" w:cs="Spectral Regular"/>
        </w:rPr>
      </w:pPr>
    </w:p>
    <w:p w:rsidR="005148A4" w:rsidRDefault="00EB735E">
      <w:pPr>
        <w:pStyle w:val="Default"/>
        <w:widowControl w:val="0"/>
        <w:spacing w:before="0"/>
        <w:ind w:left="127" w:right="103" w:firstLine="720"/>
        <w:jc w:val="both"/>
        <w:rPr>
          <w:rFonts w:ascii="Spectral Regular" w:eastAsia="Spectral Regular" w:hAnsi="Spectral Regular" w:cs="Spectral Regular"/>
        </w:rPr>
      </w:pPr>
      <w:r>
        <w:rPr>
          <w:rFonts w:ascii="Spectral Regular" w:hAnsi="Spectral Regular"/>
        </w:rPr>
        <w:t>Section 2. All documents pertaining to the PROJECT shall remain the property of the PROCURING ENTITY. The CONTRACTOR shall submit and/or return all copies thereof to the PROCURING ENTITY on or before the termination of the Contract or the date indicated in the Notice of Termination.</w:t>
      </w:r>
    </w:p>
    <w:p w:rsidR="005148A4" w:rsidRDefault="00EB735E">
      <w:pPr>
        <w:pStyle w:val="Subtitle"/>
      </w:pPr>
      <w:bookmarkStart w:id="3" w:name="_Toc3"/>
      <w:r>
        <w:rPr>
          <w:rStyle w:val="NoneA"/>
          <w:rFonts w:eastAsia="Arial Unicode MS" w:cs="Arial Unicode MS"/>
        </w:rPr>
        <w:t>ARTICLE 4 - Scope of Works</w:t>
      </w:r>
      <w:bookmarkEnd w:id="3"/>
    </w:p>
    <w:p w:rsidR="005148A4" w:rsidRDefault="00EB735E">
      <w:pPr>
        <w:pStyle w:val="Default"/>
        <w:widowControl w:val="0"/>
        <w:spacing w:before="0"/>
        <w:ind w:left="847"/>
        <w:rPr>
          <w:rFonts w:ascii="Spectral Regular" w:eastAsia="Spectral Regular" w:hAnsi="Spectral Regular" w:cs="Spectral Regular"/>
        </w:rPr>
      </w:pPr>
      <w:r>
        <w:rPr>
          <w:rFonts w:ascii="Spectral Regular" w:hAnsi="Spectral Regular"/>
        </w:rPr>
        <w:t>Section 1. The CONTRACTOR shall:</w:t>
      </w:r>
    </w:p>
    <w:p w:rsidR="005148A4" w:rsidRDefault="00EB735E">
      <w:pPr>
        <w:pStyle w:val="Default"/>
        <w:widowControl w:val="0"/>
        <w:numPr>
          <w:ilvl w:val="0"/>
          <w:numId w:val="6"/>
        </w:numPr>
        <w:spacing w:before="183"/>
        <w:ind w:right="102"/>
        <w:jc w:val="both"/>
        <w:rPr>
          <w:rFonts w:ascii="Spectral Regular" w:hAnsi="Spectral Regular"/>
        </w:rPr>
      </w:pPr>
      <w:r>
        <w:rPr>
          <w:rFonts w:ascii="Spectral Regular" w:hAnsi="Spectral Regular"/>
        </w:rPr>
        <w:t xml:space="preserve">Supply and provide all labor, materials, tools, equipment, facilities, services, power and water supply, transportation, and all related work for the PROJECT, in accordance with the </w:t>
      </w:r>
      <w:r>
        <w:rPr>
          <w:rFonts w:ascii="Spectral Regular" w:hAnsi="Spectral Regular"/>
          <w:i/>
          <w:iCs/>
        </w:rPr>
        <w:t>Scope of Works and Speciﬁcations</w:t>
      </w:r>
      <w:r>
        <w:rPr>
          <w:rFonts w:ascii="Spectral Regular" w:hAnsi="Spectral Regular"/>
        </w:rPr>
        <w:t>, plans, schedule and other related contract documents, necessary to implement the work to completion.</w:t>
      </w:r>
    </w:p>
    <w:p w:rsidR="005148A4" w:rsidRDefault="00EB735E">
      <w:pPr>
        <w:pStyle w:val="Default"/>
        <w:widowControl w:val="0"/>
        <w:numPr>
          <w:ilvl w:val="0"/>
          <w:numId w:val="6"/>
        </w:numPr>
        <w:spacing w:before="200"/>
        <w:ind w:right="104"/>
        <w:jc w:val="both"/>
        <w:rPr>
          <w:rFonts w:ascii="Spectral Regular" w:hAnsi="Spectral Regular"/>
        </w:rPr>
      </w:pPr>
      <w:r>
        <w:rPr>
          <w:rFonts w:ascii="Spectral Regular" w:hAnsi="Spectral Regular"/>
        </w:rPr>
        <w:t>At its own expense, be responsible for the unloading, unpacking, inspection, and storage of all contract-furnished materials, machinery, and equipment delivered to the construction site.</w:t>
      </w:r>
    </w:p>
    <w:p w:rsidR="005148A4" w:rsidRDefault="00EB735E">
      <w:pPr>
        <w:pStyle w:val="Default"/>
        <w:widowControl w:val="0"/>
        <w:numPr>
          <w:ilvl w:val="0"/>
          <w:numId w:val="6"/>
        </w:numPr>
        <w:spacing w:before="200"/>
        <w:ind w:right="104"/>
        <w:jc w:val="both"/>
        <w:rPr>
          <w:rFonts w:ascii="Spectral Regular" w:hAnsi="Spectral Regular"/>
        </w:rPr>
      </w:pPr>
      <w:r>
        <w:rPr>
          <w:rFonts w:ascii="Spectral Regular" w:hAnsi="Spectral Regular"/>
        </w:rPr>
        <w:t>Ensure adequate protection of all materials, machinery, and equipment in the construction site and shall be responsible for any damage or loss.</w:t>
      </w:r>
    </w:p>
    <w:p w:rsidR="005148A4" w:rsidRDefault="00EB735E">
      <w:pPr>
        <w:pStyle w:val="Default"/>
        <w:widowControl w:val="0"/>
        <w:numPr>
          <w:ilvl w:val="0"/>
          <w:numId w:val="6"/>
        </w:numPr>
        <w:spacing w:before="200"/>
        <w:ind w:right="105"/>
        <w:jc w:val="both"/>
        <w:rPr>
          <w:rFonts w:ascii="Spectral Regular" w:hAnsi="Spectral Regular"/>
        </w:rPr>
      </w:pPr>
      <w:r>
        <w:rPr>
          <w:rFonts w:ascii="Spectral Regular" w:hAnsi="Spectral Regular"/>
        </w:rPr>
        <w:t xml:space="preserve">Guarantee all works under this Contract to be free from any technical, mechanical, and electrical defects and shall replace and repair it to the satisfaction of the Chief of CPDMO on any part or portion of the work which may fail within a period of one (1) year </w:t>
      </w:r>
      <w:r>
        <w:rPr>
          <w:rFonts w:ascii="Spectral Regular" w:hAnsi="Spectral Regular"/>
          <w:i/>
          <w:iCs/>
        </w:rPr>
        <w:t xml:space="preserve">after </w:t>
      </w:r>
      <w:r>
        <w:rPr>
          <w:rFonts w:ascii="Spectral Regular" w:hAnsi="Spectral Regular"/>
        </w:rPr>
        <w:t>the ﬁnal acceptance of the work.</w:t>
      </w:r>
    </w:p>
    <w:p w:rsidR="005148A4" w:rsidRDefault="00EB735E">
      <w:pPr>
        <w:pStyle w:val="BodySpectral"/>
        <w:widowControl w:val="0"/>
        <w:spacing w:before="200"/>
        <w:ind w:left="127" w:right="105" w:firstLine="720"/>
        <w:jc w:val="both"/>
        <w:rPr>
          <w:rFonts w:ascii="Spectral Regular" w:eastAsia="Spectral Regular" w:hAnsi="Spectral Regular" w:cs="Spectral Regular"/>
          <w:sz w:val="24"/>
          <w:szCs w:val="24"/>
        </w:rPr>
      </w:pPr>
      <w:r>
        <w:rPr>
          <w:rFonts w:ascii="Spectral Regular" w:hAnsi="Spectral Regular"/>
          <w:sz w:val="24"/>
          <w:szCs w:val="24"/>
        </w:rPr>
        <w:t>Section 2.</w:t>
      </w:r>
      <w:r>
        <w:rPr>
          <w:rFonts w:ascii="Spectral Regular" w:hAnsi="Spectral Regular"/>
          <w:spacing w:val="40"/>
          <w:sz w:val="24"/>
          <w:szCs w:val="24"/>
        </w:rPr>
        <w:t xml:space="preserve"> </w:t>
      </w:r>
      <w:r>
        <w:rPr>
          <w:rFonts w:ascii="Spectral Regular" w:hAnsi="Spectral Regular"/>
          <w:i/>
          <w:iCs/>
          <w:sz w:val="24"/>
          <w:szCs w:val="24"/>
          <w:lang w:val="en-US"/>
        </w:rPr>
        <w:t xml:space="preserve">Scope of Work and Technical </w:t>
      </w:r>
      <w:proofErr w:type="spellStart"/>
      <w:r>
        <w:rPr>
          <w:rFonts w:ascii="Spectral Regular" w:hAnsi="Spectral Regular"/>
          <w:i/>
          <w:iCs/>
          <w:sz w:val="24"/>
          <w:szCs w:val="24"/>
          <w:lang w:val="en-US"/>
        </w:rPr>
        <w:t>Speci</w:t>
      </w:r>
      <w:r>
        <w:rPr>
          <w:rFonts w:ascii="Spectral Regular" w:hAnsi="Spectral Regular"/>
          <w:i/>
          <w:iCs/>
          <w:sz w:val="24"/>
          <w:szCs w:val="24"/>
        </w:rPr>
        <w:t>ﬁcations</w:t>
      </w:r>
      <w:proofErr w:type="spellEnd"/>
      <w:r>
        <w:rPr>
          <w:rFonts w:ascii="Spectral Regular" w:hAnsi="Spectral Regular"/>
          <w:sz w:val="24"/>
          <w:szCs w:val="24"/>
          <w:lang w:val="en-US"/>
        </w:rPr>
        <w:t>. - The detailed tasks involved for each individual item of work set forth in the immediately preceding section are</w:t>
      </w:r>
      <w:r>
        <w:rPr>
          <w:rFonts w:ascii="Spectral Regular" w:hAnsi="Spectral Regular"/>
          <w:spacing w:val="-2"/>
          <w:sz w:val="24"/>
          <w:szCs w:val="24"/>
        </w:rPr>
        <w:t xml:space="preserve"> </w:t>
      </w:r>
      <w:r>
        <w:rPr>
          <w:rFonts w:ascii="Spectral Regular" w:hAnsi="Spectral Regular"/>
          <w:sz w:val="24"/>
          <w:szCs w:val="24"/>
          <w:lang w:val="en-US"/>
        </w:rPr>
        <w:t xml:space="preserve">enumerated in the </w:t>
      </w:r>
      <w:r>
        <w:rPr>
          <w:rFonts w:ascii="Spectral Regular" w:hAnsi="Spectral Regular"/>
          <w:i/>
          <w:iCs/>
          <w:sz w:val="24"/>
          <w:szCs w:val="24"/>
          <w:lang w:val="en-US"/>
        </w:rPr>
        <w:t xml:space="preserve">Scope of Work </w:t>
      </w:r>
      <w:r>
        <w:rPr>
          <w:rFonts w:ascii="Spectral Regular" w:hAnsi="Spectral Regular"/>
          <w:sz w:val="24"/>
          <w:szCs w:val="24"/>
          <w:lang w:val="en-US"/>
        </w:rPr>
        <w:t xml:space="preserve">and </w:t>
      </w:r>
      <w:r>
        <w:rPr>
          <w:rFonts w:ascii="Spectral Regular" w:hAnsi="Spectral Regular"/>
          <w:i/>
          <w:iCs/>
          <w:sz w:val="24"/>
          <w:szCs w:val="24"/>
          <w:lang w:val="en-US"/>
        </w:rPr>
        <w:t xml:space="preserve">Technical </w:t>
      </w:r>
      <w:proofErr w:type="spellStart"/>
      <w:r>
        <w:rPr>
          <w:rFonts w:ascii="Spectral Regular" w:hAnsi="Spectral Regular"/>
          <w:i/>
          <w:iCs/>
          <w:sz w:val="24"/>
          <w:szCs w:val="24"/>
          <w:lang w:val="en-US"/>
        </w:rPr>
        <w:t>Speci</w:t>
      </w:r>
      <w:r>
        <w:rPr>
          <w:rFonts w:ascii="Spectral Regular" w:hAnsi="Spectral Regular"/>
          <w:i/>
          <w:iCs/>
          <w:sz w:val="24"/>
          <w:szCs w:val="24"/>
        </w:rPr>
        <w:t>ﬁcations</w:t>
      </w:r>
      <w:proofErr w:type="spellEnd"/>
      <w:r>
        <w:rPr>
          <w:rFonts w:ascii="Spectral Regular" w:hAnsi="Spectral Regular"/>
          <w:i/>
          <w:iCs/>
          <w:sz w:val="24"/>
          <w:szCs w:val="24"/>
        </w:rPr>
        <w:t xml:space="preserve"> </w:t>
      </w:r>
      <w:r>
        <w:rPr>
          <w:rFonts w:ascii="Spectral Regular" w:hAnsi="Spectral Regular"/>
          <w:sz w:val="24"/>
          <w:szCs w:val="24"/>
        </w:rPr>
        <w:t xml:space="preserve">(Annex </w:t>
      </w:r>
      <w:r>
        <w:rPr>
          <w:rFonts w:ascii="Arial Unicode MS" w:hAnsi="Arial Unicode MS"/>
          <w:sz w:val="24"/>
          <w:szCs w:val="24"/>
          <w:rtl/>
          <w:lang w:val="ar-SA"/>
        </w:rPr>
        <w:t>“</w:t>
      </w:r>
      <w:r>
        <w:rPr>
          <w:rFonts w:ascii="Spectral Regular" w:hAnsi="Spectral Regular"/>
          <w:sz w:val="24"/>
          <w:szCs w:val="24"/>
        </w:rPr>
        <w:t>C”</w:t>
      </w:r>
      <w:r>
        <w:rPr>
          <w:rFonts w:ascii="Spectral Regular" w:hAnsi="Spectral Regular"/>
          <w:sz w:val="24"/>
          <w:szCs w:val="24"/>
          <w:lang w:val="en-US"/>
        </w:rPr>
        <w:t>) of this Contract.</w:t>
      </w:r>
    </w:p>
    <w:p w:rsidR="005148A4" w:rsidRDefault="00EB735E">
      <w:pPr>
        <w:pStyle w:val="Subtitle"/>
      </w:pPr>
      <w:bookmarkStart w:id="4" w:name="_Toc4"/>
      <w:r>
        <w:rPr>
          <w:rStyle w:val="NoneA"/>
          <w:rFonts w:eastAsia="Arial Unicode MS" w:cs="Arial Unicode MS"/>
        </w:rPr>
        <w:t>ARTICLE 5 - Contract Price</w:t>
      </w:r>
      <w:bookmarkEnd w:id="4"/>
    </w:p>
    <w:p w:rsidR="005148A4" w:rsidRDefault="00EB735E">
      <w:pPr>
        <w:pStyle w:val="Default"/>
        <w:widowControl w:val="0"/>
        <w:spacing w:before="0" w:after="100"/>
        <w:ind w:left="127" w:right="101" w:firstLine="720"/>
        <w:jc w:val="both"/>
        <w:rPr>
          <w:rFonts w:ascii="Spectral Regular" w:eastAsia="Spectral Regular" w:hAnsi="Spectral Regular" w:cs="Spectral Regular"/>
        </w:rPr>
      </w:pPr>
      <w:r>
        <w:rPr>
          <w:rFonts w:ascii="Spectral Regular" w:hAnsi="Spectral Regular"/>
        </w:rPr>
        <w:t xml:space="preserve">Section 1. For and in consideration of the performance and completion of the PROJECT to the satisfaction and acceptance by the PROCURING ENTITY in accordance with the provisions of this Contract, the PROCURING ENTITY shall pay the CONTRACTOR the bid price of &lt;&lt;amount in words&gt;&gt; (amount in </w:t>
      </w:r>
      <w:proofErr w:type="gramStart"/>
      <w:r>
        <w:rPr>
          <w:rFonts w:ascii="Spectral Regular" w:hAnsi="Spectral Regular"/>
        </w:rPr>
        <w:t>numbers)  subject</w:t>
      </w:r>
      <w:proofErr w:type="gramEnd"/>
      <w:r>
        <w:rPr>
          <w:rFonts w:ascii="Spectral Regular" w:hAnsi="Spectral Regular"/>
        </w:rPr>
        <w:t xml:space="preserve"> to Applicable Laws.</w:t>
      </w:r>
    </w:p>
    <w:p w:rsidR="005148A4" w:rsidRDefault="00EB735E">
      <w:pPr>
        <w:pStyle w:val="Default"/>
        <w:widowControl w:val="0"/>
        <w:spacing w:before="0" w:after="80"/>
        <w:ind w:left="127" w:right="101" w:firstLine="720"/>
        <w:jc w:val="both"/>
        <w:rPr>
          <w:rFonts w:ascii="Spectral Regular" w:eastAsia="Spectral Regular" w:hAnsi="Spectral Regular" w:cs="Spectral Regular"/>
        </w:rPr>
      </w:pPr>
      <w:r>
        <w:rPr>
          <w:rFonts w:ascii="Spectral Regular" w:hAnsi="Spectral Regular"/>
        </w:rPr>
        <w:t xml:space="preserve">Section 2. The bid price shall be considered as fixed prices, and therefore not </w:t>
      </w:r>
      <w:r>
        <w:rPr>
          <w:rFonts w:ascii="Spectral Regular" w:hAnsi="Spectral Regular"/>
        </w:rPr>
        <w:lastRenderedPageBreak/>
        <w:t xml:space="preserve">subject to price adjustment and escalation during contract implementation, except under extraordinary circumstances and upon prior approval of the GPPB99, or when a Treaty or International or Executive Contract expressly allows it pursuant to Section 4 of </w:t>
      </w:r>
      <w:proofErr w:type="gramStart"/>
      <w:r>
        <w:rPr>
          <w:rFonts w:ascii="Spectral Regular" w:hAnsi="Spectral Regular"/>
        </w:rPr>
        <w:t>the  IRR</w:t>
      </w:r>
      <w:proofErr w:type="gramEnd"/>
      <w:r>
        <w:rPr>
          <w:rFonts w:ascii="Spectral Regular" w:hAnsi="Spectral Regular"/>
        </w:rPr>
        <w:t xml:space="preserve"> of R.A. 9184.</w:t>
      </w:r>
      <w:r>
        <w:rPr>
          <w:rFonts w:ascii="Spectral Regular" w:eastAsia="Spectral Regular" w:hAnsi="Spectral Regular" w:cs="Spectral Regular"/>
          <w:vertAlign w:val="superscript"/>
        </w:rPr>
        <w:footnoteReference w:id="2"/>
      </w:r>
      <w:r>
        <w:rPr>
          <w:rFonts w:ascii="Spectral Regular" w:hAnsi="Spectral Regular"/>
        </w:rPr>
        <w:t xml:space="preserve"> </w:t>
      </w:r>
    </w:p>
    <w:p w:rsidR="005148A4" w:rsidRDefault="00EB735E">
      <w:pPr>
        <w:pStyle w:val="Default"/>
        <w:widowControl w:val="0"/>
        <w:spacing w:before="0"/>
        <w:ind w:left="127" w:right="101" w:firstLine="720"/>
        <w:jc w:val="both"/>
        <w:rPr>
          <w:rFonts w:ascii="Spectral Regular" w:eastAsia="Spectral Regular" w:hAnsi="Spectral Regular" w:cs="Spectral Regular"/>
        </w:rPr>
      </w:pPr>
      <w:r>
        <w:rPr>
          <w:rFonts w:ascii="Spectral Regular" w:hAnsi="Spectral Regular"/>
        </w:rPr>
        <w:t xml:space="preserve">Section 3. The Contract Price is </w:t>
      </w:r>
      <w:r>
        <w:rPr>
          <w:rFonts w:ascii="Spectral Regular" w:hAnsi="Spectral Regular"/>
          <w:i/>
          <w:iCs/>
        </w:rPr>
        <w:t>inclusive</w:t>
      </w:r>
      <w:r>
        <w:rPr>
          <w:rFonts w:ascii="Spectral Regular" w:hAnsi="Spectral Regular"/>
        </w:rPr>
        <w:t xml:space="preserve"> of all duties, taxes, licenses, premiums, fees, and charges which may accrue by virtue of the PROJECT, such as but not limited to permit and registration fees, municipal and personal property taxes, fees for storage or consumption, employment taxes, payments and contributions imposed by law, and insurance. All such fees shall be for the account of the CONTRACTOR.</w:t>
      </w:r>
    </w:p>
    <w:p w:rsidR="005148A4" w:rsidRDefault="00EB735E">
      <w:pPr>
        <w:pStyle w:val="Default"/>
        <w:widowControl w:val="0"/>
        <w:spacing w:before="0" w:after="80"/>
        <w:ind w:left="127" w:right="104" w:firstLine="720"/>
        <w:jc w:val="both"/>
        <w:rPr>
          <w:rFonts w:ascii="Spectral Regular" w:eastAsia="Spectral Regular" w:hAnsi="Spectral Regular" w:cs="Spectral Regular"/>
        </w:rPr>
      </w:pPr>
      <w:r>
        <w:rPr>
          <w:rFonts w:ascii="Spectral Regular" w:hAnsi="Spectral Regular"/>
        </w:rPr>
        <w:t>Section 4. Any exemption in any payments under section 2 of this Article shall be credited to the PROCURING ENTITY. The CONTRACTOR shall inform the PROCURING ENTITY in writing of any of such exemptions otherwise, the amount so exempted from payment shall earn an interest of 1% per month, compounded monthly until fully paid, reckoned from the date when the CONTRACTOR was notiﬁed or informed or became aware of the exemption.</w:t>
      </w:r>
    </w:p>
    <w:p w:rsidR="005148A4" w:rsidRDefault="00EB735E">
      <w:pPr>
        <w:pStyle w:val="Default"/>
        <w:widowControl w:val="0"/>
        <w:spacing w:before="0" w:after="80"/>
        <w:ind w:left="127" w:right="112" w:firstLine="720"/>
        <w:jc w:val="both"/>
        <w:rPr>
          <w:rFonts w:ascii="Spectral Regular" w:eastAsia="Spectral Regular" w:hAnsi="Spectral Regular" w:cs="Spectral Regular"/>
        </w:rPr>
      </w:pPr>
      <w:r>
        <w:rPr>
          <w:rFonts w:ascii="Spectral Regular" w:hAnsi="Spectral Regular"/>
        </w:rPr>
        <w:t>Section 5. The CONTRACTOR shall pay all costs incurred in the preparation of this Contract, including notarial fees.</w:t>
      </w:r>
    </w:p>
    <w:p w:rsidR="005148A4" w:rsidRDefault="00EB735E">
      <w:pPr>
        <w:pStyle w:val="BodySpectral"/>
        <w:widowControl w:val="0"/>
        <w:ind w:left="847"/>
        <w:rPr>
          <w:rFonts w:ascii="Spectral Regular" w:eastAsia="Spectral Regular" w:hAnsi="Spectral Regular" w:cs="Spectral Regular"/>
        </w:rPr>
      </w:pPr>
      <w:r>
        <w:rPr>
          <w:rFonts w:ascii="Spectral Regular" w:hAnsi="Spectral Regular"/>
          <w:sz w:val="24"/>
          <w:szCs w:val="24"/>
        </w:rPr>
        <w:t>Section</w:t>
      </w:r>
      <w:r>
        <w:rPr>
          <w:rFonts w:ascii="Spectral Regular" w:hAnsi="Spectral Regular"/>
          <w:spacing w:val="-4"/>
          <w:sz w:val="24"/>
          <w:szCs w:val="24"/>
        </w:rPr>
        <w:t xml:space="preserve"> </w:t>
      </w:r>
      <w:r>
        <w:rPr>
          <w:rFonts w:ascii="Spectral Regular" w:hAnsi="Spectral Regular"/>
          <w:spacing w:val="-4"/>
          <w:sz w:val="24"/>
          <w:szCs w:val="24"/>
          <w:lang w:val="en-US"/>
        </w:rPr>
        <w:t>6</w:t>
      </w:r>
      <w:r>
        <w:rPr>
          <w:rFonts w:ascii="Spectral Regular" w:hAnsi="Spectral Regular"/>
          <w:sz w:val="24"/>
          <w:szCs w:val="24"/>
        </w:rPr>
        <w:t>.</w:t>
      </w:r>
      <w:r>
        <w:rPr>
          <w:rFonts w:ascii="Spectral Regular" w:hAnsi="Spectral Regular"/>
          <w:spacing w:val="-2"/>
          <w:sz w:val="24"/>
          <w:szCs w:val="24"/>
        </w:rPr>
        <w:t xml:space="preserve"> </w:t>
      </w:r>
      <w:r>
        <w:rPr>
          <w:rFonts w:ascii="Spectral Regular" w:hAnsi="Spectral Regular"/>
          <w:i/>
          <w:iCs/>
          <w:sz w:val="24"/>
          <w:szCs w:val="24"/>
          <w:lang w:val="en-US"/>
        </w:rPr>
        <w:t>Changes</w:t>
      </w:r>
      <w:r>
        <w:rPr>
          <w:rFonts w:ascii="Spectral Regular" w:hAnsi="Spectral Regular"/>
          <w:i/>
          <w:iCs/>
          <w:spacing w:val="-1"/>
          <w:sz w:val="24"/>
          <w:szCs w:val="24"/>
        </w:rPr>
        <w:t xml:space="preserve"> </w:t>
      </w:r>
      <w:r>
        <w:rPr>
          <w:rFonts w:ascii="Spectral Regular" w:hAnsi="Spectral Regular"/>
          <w:i/>
          <w:iCs/>
          <w:sz w:val="24"/>
          <w:szCs w:val="24"/>
        </w:rPr>
        <w:t>in</w:t>
      </w:r>
      <w:r>
        <w:rPr>
          <w:rFonts w:ascii="Spectral Regular" w:hAnsi="Spectral Regular"/>
          <w:i/>
          <w:iCs/>
          <w:spacing w:val="-2"/>
          <w:sz w:val="24"/>
          <w:szCs w:val="24"/>
        </w:rPr>
        <w:t xml:space="preserve"> </w:t>
      </w:r>
      <w:r>
        <w:rPr>
          <w:rFonts w:ascii="Spectral Regular" w:hAnsi="Spectral Regular"/>
          <w:i/>
          <w:iCs/>
          <w:sz w:val="24"/>
          <w:szCs w:val="24"/>
          <w:lang w:val="en-US"/>
        </w:rPr>
        <w:t>Contract</w:t>
      </w:r>
      <w:r>
        <w:rPr>
          <w:rFonts w:ascii="Spectral Regular" w:hAnsi="Spectral Regular"/>
          <w:i/>
          <w:iCs/>
          <w:spacing w:val="-1"/>
          <w:sz w:val="24"/>
          <w:szCs w:val="24"/>
        </w:rPr>
        <w:t xml:space="preserve"> </w:t>
      </w:r>
      <w:r>
        <w:rPr>
          <w:rFonts w:ascii="Spectral Regular" w:hAnsi="Spectral Regular"/>
          <w:i/>
          <w:iCs/>
          <w:spacing w:val="-2"/>
          <w:sz w:val="24"/>
          <w:szCs w:val="24"/>
          <w:lang w:val="en-US"/>
        </w:rPr>
        <w:t>Price</w:t>
      </w:r>
      <w:r>
        <w:rPr>
          <w:rFonts w:ascii="Spectral Regular" w:hAnsi="Spectral Regular"/>
          <w:spacing w:val="-2"/>
          <w:sz w:val="24"/>
          <w:szCs w:val="24"/>
        </w:rPr>
        <w:t>.</w:t>
      </w:r>
    </w:p>
    <w:p w:rsidR="005148A4" w:rsidRDefault="00EB735E">
      <w:pPr>
        <w:pStyle w:val="Default"/>
        <w:widowControl w:val="0"/>
        <w:numPr>
          <w:ilvl w:val="0"/>
          <w:numId w:val="8"/>
        </w:numPr>
        <w:spacing w:before="0"/>
        <w:ind w:right="102"/>
        <w:jc w:val="both"/>
        <w:rPr>
          <w:rFonts w:ascii="Spectral Regular" w:hAnsi="Spectral Regular"/>
        </w:rPr>
      </w:pPr>
      <w:r>
        <w:rPr>
          <w:rFonts w:ascii="Spectral Regular" w:hAnsi="Spectral Regular"/>
        </w:rPr>
        <w:t xml:space="preserve">In cases where the cost of the awarded contract is affected by any applicable new laws, ordinances, regulations, or other acts of the Government of the Philippines, promulgated </w:t>
      </w:r>
      <w:r>
        <w:rPr>
          <w:rFonts w:ascii="Spectral Regular" w:hAnsi="Spectral Regular"/>
          <w:i/>
          <w:iCs/>
        </w:rPr>
        <w:t>after</w:t>
      </w:r>
      <w:r>
        <w:rPr>
          <w:rFonts w:ascii="Spectral Regular" w:hAnsi="Spectral Regular"/>
        </w:rPr>
        <w:t xml:space="preserve"> the date of bid opening, a contract price adjustment shall be made or appropriate relief shall be applied on a no loss-no gain basis.</w:t>
      </w:r>
      <w:r>
        <w:rPr>
          <w:rFonts w:ascii="Spectral Regular" w:eastAsia="Spectral Regular" w:hAnsi="Spectral Regular" w:cs="Spectral Regular"/>
          <w:vertAlign w:val="superscript"/>
        </w:rPr>
        <w:footnoteReference w:id="3"/>
      </w:r>
    </w:p>
    <w:p w:rsidR="005148A4" w:rsidRDefault="00EB735E">
      <w:pPr>
        <w:pStyle w:val="Default"/>
        <w:widowControl w:val="0"/>
        <w:numPr>
          <w:ilvl w:val="0"/>
          <w:numId w:val="8"/>
        </w:numPr>
        <w:spacing w:before="0" w:after="80"/>
        <w:ind w:right="102"/>
        <w:jc w:val="both"/>
        <w:rPr>
          <w:rFonts w:ascii="Spectral Regular" w:hAnsi="Spectral Regular"/>
        </w:rPr>
      </w:pPr>
      <w:r>
        <w:rPr>
          <w:rFonts w:ascii="Spectral Regular" w:hAnsi="Spectral Regular"/>
        </w:rPr>
        <w:t xml:space="preserve">Any request for price escalation under </w:t>
      </w:r>
      <w:r>
        <w:rPr>
          <w:rFonts w:ascii="Spectral Regular" w:hAnsi="Spectral Regular"/>
          <w:i/>
          <w:iCs/>
        </w:rPr>
        <w:t xml:space="preserve">extraordinary circumstances </w:t>
      </w:r>
      <w:r>
        <w:rPr>
          <w:rFonts w:ascii="Spectral Regular" w:hAnsi="Spectral Regular"/>
        </w:rPr>
        <w:t>shall be submitted by the concerned entity to the National Economic and Development Authority (NEDA) with the endorsement of the Procuring Entity. The burden of proving the occurrence of extraordinary circumstances that will allow for price escalation shall rest with the party requesting for such escalation. NEDA shall only respond to such request after receiving the proof and the necessary documentation.</w:t>
      </w:r>
      <w:r>
        <w:rPr>
          <w:rFonts w:ascii="Spectral Regular" w:eastAsia="Spectral Regular" w:hAnsi="Spectral Regular" w:cs="Spectral Regular"/>
          <w:vertAlign w:val="superscript"/>
        </w:rPr>
        <w:footnoteReference w:id="4"/>
      </w:r>
      <w:r>
        <w:rPr>
          <w:rFonts w:ascii="Spectral Regular" w:hAnsi="Spectral Regular"/>
        </w:rPr>
        <w:t xml:space="preserve"> </w:t>
      </w:r>
    </w:p>
    <w:p w:rsidR="005148A4" w:rsidRDefault="00EB735E">
      <w:pPr>
        <w:pStyle w:val="Default"/>
        <w:widowControl w:val="0"/>
        <w:numPr>
          <w:ilvl w:val="0"/>
          <w:numId w:val="8"/>
        </w:numPr>
        <w:spacing w:before="0"/>
        <w:ind w:right="102"/>
        <w:jc w:val="both"/>
        <w:rPr>
          <w:rFonts w:ascii="Spectral Regular" w:hAnsi="Spectral Regular"/>
        </w:rPr>
      </w:pPr>
      <w:r>
        <w:rPr>
          <w:rFonts w:ascii="Spectral Regular" w:hAnsi="Spectral Regular"/>
        </w:rPr>
        <w:t>For purposes of this Section, “</w:t>
      </w:r>
      <w:r>
        <w:rPr>
          <w:rFonts w:ascii="Spectral Regular" w:hAnsi="Spectral Regular"/>
          <w:i/>
          <w:iCs/>
        </w:rPr>
        <w:t>extraordinary circumstances</w:t>
      </w:r>
      <w:r>
        <w:rPr>
          <w:rFonts w:ascii="Spectral Regular" w:hAnsi="Spectral Regular"/>
        </w:rPr>
        <w:t>” shall refer to events that may be determined by the NEDA in accordance with the Civil Code of the Philippines, and upon the recommendation of the Procuring Entity concerned.</w:t>
      </w:r>
      <w:r>
        <w:rPr>
          <w:rFonts w:ascii="Spectral Regular" w:eastAsia="Spectral Regular" w:hAnsi="Spectral Regular" w:cs="Spectral Regular"/>
          <w:vertAlign w:val="superscript"/>
        </w:rPr>
        <w:footnoteReference w:id="5"/>
      </w:r>
      <w:r>
        <w:rPr>
          <w:rFonts w:ascii="Spectral Regular" w:hAnsi="Spectral Regular"/>
        </w:rPr>
        <w:t xml:space="preserve">  </w:t>
      </w:r>
    </w:p>
    <w:p w:rsidR="005148A4" w:rsidRDefault="00EB735E">
      <w:pPr>
        <w:pStyle w:val="Default"/>
        <w:widowControl w:val="0"/>
        <w:spacing w:before="80" w:after="120"/>
        <w:ind w:left="847"/>
        <w:rPr>
          <w:rFonts w:ascii="Spectral Regular" w:eastAsia="Spectral Regular" w:hAnsi="Spectral Regular" w:cs="Spectral Regular"/>
          <w:i/>
          <w:iCs/>
        </w:rPr>
      </w:pPr>
      <w:r>
        <w:rPr>
          <w:rFonts w:ascii="Spectral Regular" w:hAnsi="Spectral Regular"/>
        </w:rPr>
        <w:t xml:space="preserve">Section 6. </w:t>
      </w:r>
      <w:r>
        <w:rPr>
          <w:rFonts w:ascii="Spectral Regular" w:hAnsi="Spectral Regular"/>
          <w:i/>
          <w:iCs/>
        </w:rPr>
        <w:t>Additional works.</w:t>
      </w:r>
    </w:p>
    <w:p w:rsidR="005148A4" w:rsidRDefault="00EB735E">
      <w:pPr>
        <w:pStyle w:val="Default"/>
        <w:widowControl w:val="0"/>
        <w:numPr>
          <w:ilvl w:val="0"/>
          <w:numId w:val="10"/>
        </w:numPr>
        <w:spacing w:before="0"/>
        <w:ind w:right="101"/>
        <w:jc w:val="both"/>
        <w:rPr>
          <w:rFonts w:ascii="Spectral Regular" w:hAnsi="Spectral Regular"/>
        </w:rPr>
      </w:pPr>
      <w:r>
        <w:rPr>
          <w:rFonts w:ascii="Spectral Regular" w:hAnsi="Spectral Regular"/>
        </w:rPr>
        <w:lastRenderedPageBreak/>
        <w:t xml:space="preserve">For Variation Orders, the contractor shall be paid for additional work items whose unit prices shall be derived based on the following: </w:t>
      </w:r>
    </w:p>
    <w:p w:rsidR="005148A4" w:rsidRDefault="00EB735E">
      <w:pPr>
        <w:pStyle w:val="Default"/>
        <w:widowControl w:val="0"/>
        <w:numPr>
          <w:ilvl w:val="1"/>
          <w:numId w:val="10"/>
        </w:numPr>
        <w:spacing w:before="0"/>
        <w:ind w:right="101"/>
        <w:jc w:val="both"/>
        <w:rPr>
          <w:rFonts w:ascii="Spectral Regular" w:hAnsi="Spectral Regular"/>
        </w:rPr>
      </w:pPr>
      <w:r>
        <w:rPr>
          <w:rFonts w:ascii="Spectral Regular" w:hAnsi="Spectral Regular"/>
        </w:rPr>
        <w:t xml:space="preserve">For additional/extra works duly covered by Change Orders involving work items which are exactly the same or similar to those in the original contract, the applicable unit prices of work items original contract shall be used. </w:t>
      </w:r>
    </w:p>
    <w:p w:rsidR="005148A4" w:rsidRDefault="00EB735E">
      <w:pPr>
        <w:pStyle w:val="Default"/>
        <w:widowControl w:val="0"/>
        <w:numPr>
          <w:ilvl w:val="1"/>
          <w:numId w:val="10"/>
        </w:numPr>
        <w:spacing w:before="0"/>
        <w:ind w:right="101"/>
        <w:jc w:val="both"/>
        <w:rPr>
          <w:rFonts w:ascii="Spectral Regular" w:hAnsi="Spectral Regular"/>
        </w:rPr>
      </w:pPr>
      <w:r>
        <w:rPr>
          <w:rFonts w:ascii="Spectral Regular" w:hAnsi="Spectral Regular"/>
        </w:rPr>
        <w:t xml:space="preserve">For additional/extra works duly covered by Extra Work Orders involving new work items that are not in the original contract, the unit prices of the new work items shall be based on the direct unit costs used in the original contract (e.g., unit cost of cement, rebars, form lumber, labor rate, equipment rental, etc.). All new components of the new work item shall be fixed prices, provided the same is acceptable to both the Procuring Entity and the contractor, and provided further that the direct unit costs of new components shall be based on the contractor's estimate as validated by the procuring entity concerned via documented canvass in accordance with existing rules and regulations. The direct cost of the new work item shall then be combined with the mark-up factor (i.e., taxes and profit) used by the contractor in his bid to determine the unit price of the new work item. </w:t>
      </w:r>
    </w:p>
    <w:p w:rsidR="005148A4" w:rsidRDefault="00EB735E">
      <w:pPr>
        <w:pStyle w:val="Default"/>
        <w:widowControl w:val="0"/>
        <w:numPr>
          <w:ilvl w:val="0"/>
          <w:numId w:val="10"/>
        </w:numPr>
        <w:spacing w:before="0"/>
        <w:ind w:right="101"/>
        <w:jc w:val="both"/>
        <w:rPr>
          <w:rFonts w:ascii="Spectral Regular" w:hAnsi="Spectral Regular"/>
        </w:rPr>
      </w:pPr>
      <w:r>
        <w:rPr>
          <w:rFonts w:ascii="Spectral Regular" w:hAnsi="Spectral Regular"/>
        </w:rPr>
        <w:t>Request for payment by the contractor for any extra work shall be accompanied by a statement, with the approved supporting forms, giving a detailed accounting and record of the amount for which payment is claimed. Said request for payment shall be included with the contractor's statement for progress payment.</w:t>
      </w:r>
    </w:p>
    <w:p w:rsidR="005148A4" w:rsidRDefault="00EB735E">
      <w:pPr>
        <w:pStyle w:val="Default"/>
        <w:widowControl w:val="0"/>
        <w:spacing w:before="80" w:after="120"/>
        <w:ind w:left="847"/>
        <w:jc w:val="both"/>
        <w:rPr>
          <w:rFonts w:ascii="Spectral Regular" w:eastAsia="Spectral Regular" w:hAnsi="Spectral Regular" w:cs="Spectral Regular"/>
        </w:rPr>
      </w:pPr>
      <w:r>
        <w:rPr>
          <w:rFonts w:ascii="Spectral Regular" w:hAnsi="Spectral Regular"/>
        </w:rPr>
        <w:t xml:space="preserve">Section 7.  </w:t>
      </w:r>
      <w:r>
        <w:rPr>
          <w:rFonts w:ascii="Spectral Regular" w:hAnsi="Spectral Regular"/>
          <w:i/>
          <w:iCs/>
        </w:rPr>
        <w:t>Omitted works</w:t>
      </w:r>
      <w:r>
        <w:rPr>
          <w:rFonts w:ascii="Spectral Regular" w:hAnsi="Spectral Regular"/>
        </w:rPr>
        <w:t>. - Should the PROCURING ENTITY require the CONTRACTOR to omit any work or portion of the PROJECT, the cost of work omitted shall be deducted from the Contract Price.</w:t>
      </w:r>
    </w:p>
    <w:p w:rsidR="005148A4" w:rsidRDefault="00EB735E">
      <w:pPr>
        <w:pStyle w:val="Default"/>
        <w:widowControl w:val="0"/>
        <w:spacing w:before="80" w:after="120"/>
        <w:ind w:left="847"/>
        <w:rPr>
          <w:rFonts w:ascii="Spectral Regular" w:eastAsia="Spectral Regular" w:hAnsi="Spectral Regular" w:cs="Spectral Regular"/>
        </w:rPr>
      </w:pPr>
      <w:r>
        <w:rPr>
          <w:rFonts w:ascii="Spectral Regular" w:hAnsi="Spectral Regular"/>
        </w:rPr>
        <w:t>Section 8. The cost of additional or omitted works under this Article shall be based on the recommendation of the Campus Planning Development and Maintenance Oﬃce.</w:t>
      </w:r>
    </w:p>
    <w:p w:rsidR="005148A4" w:rsidRDefault="00EB735E">
      <w:pPr>
        <w:pStyle w:val="Subtitle"/>
      </w:pPr>
      <w:bookmarkStart w:id="5" w:name="_Toc5"/>
      <w:r>
        <w:rPr>
          <w:rStyle w:val="NoneA"/>
          <w:rFonts w:eastAsia="Arial Unicode MS" w:cs="Arial Unicode MS"/>
        </w:rPr>
        <w:t>ARTICLE 6 - Payments</w:t>
      </w:r>
      <w:bookmarkEnd w:id="5"/>
    </w:p>
    <w:p w:rsidR="005148A4" w:rsidRDefault="00EB735E">
      <w:pPr>
        <w:pStyle w:val="Default"/>
        <w:widowControl w:val="0"/>
        <w:spacing w:before="0"/>
        <w:ind w:left="847"/>
        <w:rPr>
          <w:rFonts w:ascii="Spectral Regular" w:eastAsia="Spectral Regular" w:hAnsi="Spectral Regular" w:cs="Spectral Regular"/>
          <w:i/>
          <w:iCs/>
        </w:rPr>
      </w:pPr>
      <w:r>
        <w:rPr>
          <w:rFonts w:ascii="Spectral Regular" w:hAnsi="Spectral Regular"/>
        </w:rPr>
        <w:t xml:space="preserve">Section 1. </w:t>
      </w:r>
      <w:r>
        <w:rPr>
          <w:rFonts w:ascii="Spectral Regular" w:hAnsi="Spectral Regular"/>
          <w:i/>
          <w:iCs/>
        </w:rPr>
        <w:t>Advance payments.</w:t>
      </w:r>
    </w:p>
    <w:p w:rsidR="005148A4" w:rsidRDefault="00EB735E">
      <w:pPr>
        <w:pStyle w:val="Default"/>
        <w:widowControl w:val="0"/>
        <w:numPr>
          <w:ilvl w:val="0"/>
          <w:numId w:val="12"/>
        </w:numPr>
        <w:spacing w:before="200"/>
        <w:ind w:right="106"/>
        <w:jc w:val="both"/>
        <w:rPr>
          <w:rFonts w:ascii="Spectral Regular" w:hAnsi="Spectral Regular"/>
        </w:rPr>
      </w:pPr>
      <w:r>
        <w:rPr>
          <w:rFonts w:ascii="Spectral Regular" w:hAnsi="Spectral Regular"/>
        </w:rPr>
        <w:t xml:space="preserve">Upon written request of the contractor and its submission of an </w:t>
      </w:r>
      <w:r>
        <w:rPr>
          <w:rFonts w:ascii="Spectral Regular" w:hAnsi="Spectral Regular"/>
          <w:i/>
          <w:iCs/>
        </w:rPr>
        <w:t>irrevocable</w:t>
      </w:r>
      <w:r>
        <w:rPr>
          <w:rFonts w:ascii="Spectral Regular" w:hAnsi="Spectral Regular"/>
        </w:rPr>
        <w:t xml:space="preserve"> letter of credit or </w:t>
      </w:r>
      <w:r>
        <w:rPr>
          <w:rFonts w:ascii="Spectral Regular" w:hAnsi="Spectral Regular"/>
          <w:i/>
          <w:iCs/>
        </w:rPr>
        <w:t>bank guarantee</w:t>
      </w:r>
      <w:r>
        <w:rPr>
          <w:rFonts w:ascii="Spectral Regular" w:hAnsi="Spectral Regular"/>
        </w:rPr>
        <w:t xml:space="preserve"> issued by a Universal or Commercial </w:t>
      </w:r>
      <w:proofErr w:type="gramStart"/>
      <w:r>
        <w:rPr>
          <w:rFonts w:ascii="Spectral Regular" w:hAnsi="Spectral Regular"/>
        </w:rPr>
        <w:t>Bank,  or</w:t>
      </w:r>
      <w:proofErr w:type="gramEnd"/>
      <w:r>
        <w:rPr>
          <w:rFonts w:ascii="Spectral Regular" w:hAnsi="Spectral Regular"/>
        </w:rPr>
        <w:t xml:space="preserve"> a </w:t>
      </w:r>
      <w:r>
        <w:rPr>
          <w:rFonts w:ascii="Spectral Regular" w:hAnsi="Spectral Regular"/>
          <w:i/>
          <w:iCs/>
        </w:rPr>
        <w:t>guarantee payment bond</w:t>
      </w:r>
      <w:r>
        <w:rPr>
          <w:rFonts w:ascii="Spectral Regular" w:hAnsi="Spectral Regular"/>
        </w:rPr>
        <w:t xml:space="preserve">, callable on demand, issued by a surety or insurance company duly licensed by and in good standing as certiﬁed by the Insurance Commission, advance payment not to exceed fifteen percent (15%) of the contract amount shall be allowed and paid within sixty (60) calendar days from the </w:t>
      </w:r>
      <w:r>
        <w:rPr>
          <w:rFonts w:ascii="Spectral Regular" w:hAnsi="Spectral Regular"/>
        </w:rPr>
        <w:lastRenderedPageBreak/>
        <w:t>signing of the contract. The irrevocable letter of credit or bank guarantee must be for an equivalent amount, shall remain valid until the goods are delivered, and accompanied by a claim for advance payment.</w:t>
      </w:r>
      <w:r>
        <w:rPr>
          <w:rFonts w:ascii="Spectral Regular" w:eastAsia="Spectral Regular" w:hAnsi="Spectral Regular" w:cs="Spectral Regular"/>
          <w:vertAlign w:val="superscript"/>
        </w:rPr>
        <w:footnoteReference w:id="6"/>
      </w:r>
    </w:p>
    <w:p w:rsidR="005148A4" w:rsidRDefault="00EB735E">
      <w:pPr>
        <w:pStyle w:val="Default"/>
        <w:widowControl w:val="0"/>
        <w:numPr>
          <w:ilvl w:val="0"/>
          <w:numId w:val="12"/>
        </w:numPr>
        <w:spacing w:before="200"/>
        <w:ind w:right="106"/>
        <w:jc w:val="both"/>
        <w:rPr>
          <w:rFonts w:ascii="Spectral Regular" w:hAnsi="Spectral Regular"/>
        </w:rPr>
      </w:pPr>
      <w:r>
        <w:rPr>
          <w:rFonts w:ascii="Spectral Regular" w:hAnsi="Spectral Regular"/>
        </w:rPr>
        <w:t xml:space="preserve">A single advance payment may be made or given in two installments according to a schedule in the </w:t>
      </w:r>
      <w:r>
        <w:rPr>
          <w:rFonts w:ascii="Spectral Regular" w:hAnsi="Spectral Regular"/>
          <w:i/>
          <w:iCs/>
        </w:rPr>
        <w:t>Instructions to Bidders</w:t>
      </w:r>
      <w:r>
        <w:rPr>
          <w:rFonts w:ascii="Spectral Regular" w:hAnsi="Spectral Regular"/>
        </w:rPr>
        <w:t xml:space="preserve"> and other relevant Tender Documents.</w:t>
      </w:r>
    </w:p>
    <w:p w:rsidR="005148A4" w:rsidRDefault="00EB735E">
      <w:pPr>
        <w:pStyle w:val="Default"/>
        <w:widowControl w:val="0"/>
        <w:numPr>
          <w:ilvl w:val="0"/>
          <w:numId w:val="12"/>
        </w:numPr>
        <w:spacing w:before="0" w:after="140"/>
        <w:ind w:right="104"/>
        <w:jc w:val="both"/>
        <w:rPr>
          <w:rFonts w:ascii="Spectral Regular" w:hAnsi="Spectral Regular"/>
        </w:rPr>
      </w:pPr>
      <w:r>
        <w:rPr>
          <w:rFonts w:ascii="Spectral Regular" w:hAnsi="Spectral Regular"/>
        </w:rPr>
        <w:t>The advance payment shall be repaid by the contractor by deducting ﬁfteen percent (15%) from his periodic progress payments until the amount of advance payment is fully returned.</w:t>
      </w:r>
    </w:p>
    <w:p w:rsidR="005148A4" w:rsidRDefault="00EB735E">
      <w:pPr>
        <w:pStyle w:val="Default"/>
        <w:widowControl w:val="0"/>
        <w:spacing w:before="0"/>
        <w:ind w:left="847"/>
        <w:rPr>
          <w:rFonts w:ascii="Spectral Regular" w:eastAsia="Spectral Regular" w:hAnsi="Spectral Regular" w:cs="Spectral Regular"/>
        </w:rPr>
      </w:pPr>
      <w:r>
        <w:rPr>
          <w:rFonts w:ascii="Spectral Regular" w:hAnsi="Spectral Regular"/>
        </w:rPr>
        <w:t xml:space="preserve">Section 2. </w:t>
      </w:r>
      <w:r>
        <w:rPr>
          <w:rFonts w:ascii="Spectral Regular" w:hAnsi="Spectral Regular"/>
          <w:i/>
          <w:iCs/>
        </w:rPr>
        <w:t>Progress payments</w:t>
      </w:r>
      <w:r>
        <w:rPr>
          <w:rFonts w:ascii="Spectral Regular" w:hAnsi="Spectral Regular"/>
        </w:rPr>
        <w:t>.</w:t>
      </w:r>
    </w:p>
    <w:p w:rsidR="005148A4" w:rsidRDefault="00EB735E">
      <w:pPr>
        <w:pStyle w:val="Default"/>
        <w:widowControl w:val="0"/>
        <w:numPr>
          <w:ilvl w:val="0"/>
          <w:numId w:val="14"/>
        </w:numPr>
        <w:spacing w:before="200"/>
        <w:ind w:right="108"/>
        <w:jc w:val="both"/>
        <w:rPr>
          <w:rFonts w:ascii="Spectral Regular" w:hAnsi="Spectral Regular"/>
        </w:rPr>
      </w:pPr>
      <w:r>
        <w:rPr>
          <w:rFonts w:ascii="Spectral Regular" w:hAnsi="Spectral Regular"/>
        </w:rPr>
        <w:t>The PROCURING ENTITY shall pay the CONTRACTOR progress payments based on billings for actual works accomplished as certiﬁed by the Campus Planning Development and Maintenance Oﬃce of the PROCURING ENTITY.</w:t>
      </w:r>
    </w:p>
    <w:p w:rsidR="005148A4" w:rsidRDefault="00EB735E">
      <w:pPr>
        <w:pStyle w:val="Default"/>
        <w:widowControl w:val="0"/>
        <w:numPr>
          <w:ilvl w:val="0"/>
          <w:numId w:val="14"/>
        </w:numPr>
        <w:spacing w:before="0"/>
        <w:ind w:right="103"/>
        <w:jc w:val="both"/>
        <w:rPr>
          <w:rFonts w:ascii="Spectral Regular" w:hAnsi="Spectral Regular"/>
        </w:rPr>
      </w:pPr>
      <w:r>
        <w:rPr>
          <w:rFonts w:ascii="Spectral Regular" w:hAnsi="Spectral Regular"/>
        </w:rPr>
        <w:t>In no case shall progress billings be made more than once every thirty (30) calendar days. Materials or equipment delivered on the site but not completely put in place or used in the PROJECT shall not be included for payment.</w:t>
      </w:r>
    </w:p>
    <w:p w:rsidR="005148A4" w:rsidRDefault="00EB735E">
      <w:pPr>
        <w:pStyle w:val="Default"/>
        <w:widowControl w:val="0"/>
        <w:numPr>
          <w:ilvl w:val="0"/>
          <w:numId w:val="14"/>
        </w:numPr>
        <w:spacing w:before="20" w:after="200"/>
        <w:ind w:right="106"/>
        <w:jc w:val="both"/>
        <w:rPr>
          <w:rFonts w:ascii="Spectral Regular" w:hAnsi="Spectral Regular"/>
        </w:rPr>
      </w:pPr>
      <w:r>
        <w:rPr>
          <w:rFonts w:ascii="Spectral Regular" w:hAnsi="Spectral Regular"/>
        </w:rPr>
        <w:t xml:space="preserve">All progress payments shall be subject to a </w:t>
      </w:r>
      <w:r>
        <w:rPr>
          <w:rFonts w:ascii="Spectral Regular" w:hAnsi="Spectral Regular"/>
          <w:i/>
          <w:iCs/>
        </w:rPr>
        <w:t xml:space="preserve">retention fee </w:t>
      </w:r>
      <w:r>
        <w:rPr>
          <w:rFonts w:ascii="Spectral Regular" w:hAnsi="Spectral Regular"/>
        </w:rPr>
        <w:t>of ten percent (10%) based on the amount due to the CONTRACTOR prior to deductions and shall be retained from every progress payment until ﬁfty percent (50%) of the value of the works, as determined by the PROCURING ENTITY, are completed. If, after 50% completion, the work is satisfactorily done and on schedule, no additional retention shall be made otherwise, the 10% retention shall be imposed. The CONTRACTOR may, however, request for the release of the retention fee prior to the Final Acceptance subject to the guidelines set forth in R.A. 9184 and its Implementing Rules and Regulations.</w:t>
      </w:r>
    </w:p>
    <w:p w:rsidR="005148A4" w:rsidRDefault="00EB735E">
      <w:pPr>
        <w:pStyle w:val="Default"/>
        <w:widowControl w:val="0"/>
        <w:spacing w:before="0" w:after="60"/>
        <w:ind w:left="127" w:right="104" w:firstLine="720"/>
        <w:jc w:val="both"/>
        <w:rPr>
          <w:rFonts w:ascii="Spectral Regular" w:eastAsia="Spectral Regular" w:hAnsi="Spectral Regular" w:cs="Spectral Regular"/>
        </w:rPr>
      </w:pPr>
      <w:r>
        <w:rPr>
          <w:rFonts w:ascii="Spectral Regular" w:hAnsi="Spectral Regular"/>
        </w:rPr>
        <w:t xml:space="preserve">Section 3. </w:t>
      </w:r>
      <w:r>
        <w:rPr>
          <w:rFonts w:ascii="Spectral Regular" w:hAnsi="Spectral Regular"/>
          <w:i/>
          <w:iCs/>
        </w:rPr>
        <w:t>Other deductions</w:t>
      </w:r>
      <w:r>
        <w:rPr>
          <w:rFonts w:ascii="Spectral Regular" w:hAnsi="Spectral Regular"/>
        </w:rPr>
        <w:t>. The PROCURING ENTITY reserves the right to deduct from the progress billing such amount as may be necessary to cover third-party liabilities, as well as uncorrected discovered defects in the PROJECT in the event that the costs of such liabilities, as well as uncorrected discovered defects in the PROJECT, exceed the 10% retention fee.</w:t>
      </w:r>
    </w:p>
    <w:p w:rsidR="005148A4" w:rsidRDefault="00EB735E">
      <w:pPr>
        <w:pStyle w:val="Subtitle"/>
      </w:pPr>
      <w:bookmarkStart w:id="6" w:name="_Toc6"/>
      <w:r>
        <w:rPr>
          <w:rStyle w:val="NoneA"/>
          <w:rFonts w:eastAsia="Arial Unicode MS" w:cs="Arial Unicode MS"/>
        </w:rPr>
        <w:t>ARTICLE 7 - Completion Period</w:t>
      </w:r>
      <w:bookmarkEnd w:id="6"/>
    </w:p>
    <w:p w:rsidR="005148A4" w:rsidRDefault="00EB735E">
      <w:pPr>
        <w:pStyle w:val="Default"/>
        <w:widowControl w:val="0"/>
        <w:spacing w:before="0"/>
        <w:ind w:left="127" w:right="108" w:firstLine="720"/>
        <w:jc w:val="both"/>
        <w:rPr>
          <w:rFonts w:ascii="Spectral Regular" w:eastAsia="Spectral Regular" w:hAnsi="Spectral Regular" w:cs="Spectral Regular"/>
        </w:rPr>
      </w:pPr>
      <w:r>
        <w:rPr>
          <w:rFonts w:ascii="Spectral Regular" w:hAnsi="Spectral Regular"/>
        </w:rPr>
        <w:t xml:space="preserve">Section 1. The CONTRACTOR shall perform and complete the PROJECT to the satisfaction of the PROCURING ENTITY within sixty (60) </w:t>
      </w:r>
      <w:r>
        <w:rPr>
          <w:rFonts w:ascii="Spectral Regular" w:hAnsi="Spectral Regular"/>
          <w:i/>
          <w:iCs/>
        </w:rPr>
        <w:t xml:space="preserve">calendar </w:t>
      </w:r>
      <w:r>
        <w:rPr>
          <w:rFonts w:ascii="Spectral Regular" w:hAnsi="Spectral Regular"/>
        </w:rPr>
        <w:t xml:space="preserve">days reckoned from the date of </w:t>
      </w:r>
      <w:r>
        <w:rPr>
          <w:rFonts w:ascii="Spectral Regular" w:hAnsi="Spectral Regular"/>
          <w:i/>
          <w:iCs/>
        </w:rPr>
        <w:t xml:space="preserve">issuance </w:t>
      </w:r>
      <w:r>
        <w:rPr>
          <w:rFonts w:ascii="Spectral Regular" w:hAnsi="Spectral Regular"/>
        </w:rPr>
        <w:t xml:space="preserve">of, or the date </w:t>
      </w:r>
      <w:r>
        <w:rPr>
          <w:rFonts w:ascii="Spectral Regular" w:hAnsi="Spectral Regular"/>
          <w:i/>
          <w:iCs/>
        </w:rPr>
        <w:t xml:space="preserve">stated </w:t>
      </w:r>
      <w:r>
        <w:rPr>
          <w:rFonts w:ascii="Spectral Regular" w:hAnsi="Spectral Regular"/>
        </w:rPr>
        <w:t xml:space="preserve">in, the </w:t>
      </w:r>
      <w:r>
        <w:rPr>
          <w:rFonts w:ascii="Spectral Regular" w:hAnsi="Spectral Regular"/>
          <w:i/>
          <w:iCs/>
        </w:rPr>
        <w:t>Notice to Proceed</w:t>
      </w:r>
      <w:r>
        <w:rPr>
          <w:rFonts w:ascii="Spectral Regular" w:hAnsi="Spectral Regular"/>
        </w:rPr>
        <w:t>, whichever is earlier.</w:t>
      </w:r>
    </w:p>
    <w:p w:rsidR="005148A4" w:rsidRDefault="00EB735E">
      <w:pPr>
        <w:pStyle w:val="Default"/>
        <w:widowControl w:val="0"/>
        <w:spacing w:before="200"/>
        <w:ind w:left="127" w:right="110" w:firstLine="720"/>
        <w:jc w:val="both"/>
        <w:rPr>
          <w:rFonts w:ascii="Spectral Regular" w:eastAsia="Spectral Regular" w:hAnsi="Spectral Regular" w:cs="Spectral Regular"/>
        </w:rPr>
      </w:pPr>
      <w:r>
        <w:rPr>
          <w:rFonts w:ascii="Spectral Regular" w:hAnsi="Spectral Regular"/>
        </w:rPr>
        <w:lastRenderedPageBreak/>
        <w:t>Section 2. The completion period shall include the time for securing all pertinent permits that may be required by any government oﬃce or agency in connection with the PROJECT.</w:t>
      </w:r>
    </w:p>
    <w:p w:rsidR="005148A4" w:rsidRDefault="005148A4">
      <w:pPr>
        <w:pStyle w:val="Default"/>
        <w:widowControl w:val="0"/>
        <w:spacing w:before="8"/>
        <w:ind w:left="832"/>
        <w:rPr>
          <w:rFonts w:ascii="Spectral Regular" w:eastAsia="Spectral Regular" w:hAnsi="Spectral Regular" w:cs="Spectral Regular"/>
          <w:sz w:val="6"/>
          <w:szCs w:val="6"/>
        </w:rPr>
      </w:pPr>
    </w:p>
    <w:p w:rsidR="005148A4" w:rsidRDefault="00EB735E">
      <w:pPr>
        <w:pStyle w:val="Subtitle"/>
      </w:pPr>
      <w:bookmarkStart w:id="7" w:name="_Toc7"/>
      <w:r>
        <w:rPr>
          <w:rStyle w:val="NoneA"/>
          <w:rFonts w:eastAsia="Arial Unicode MS" w:cs="Arial Unicode MS"/>
        </w:rPr>
        <w:t xml:space="preserve">ARTICLE 8 - Delay and </w:t>
      </w:r>
      <w:r>
        <w:rPr>
          <w:rFonts w:eastAsia="Arial Unicode MS" w:cs="Arial Unicode MS"/>
          <w:i/>
          <w:iCs/>
        </w:rPr>
        <w:t>Force Majeure</w:t>
      </w:r>
      <w:bookmarkEnd w:id="7"/>
    </w:p>
    <w:p w:rsidR="005148A4" w:rsidRDefault="00EB735E">
      <w:pPr>
        <w:pStyle w:val="Default"/>
        <w:widowControl w:val="0"/>
        <w:spacing w:before="200"/>
        <w:ind w:left="127" w:right="102" w:firstLine="720"/>
        <w:jc w:val="both"/>
        <w:rPr>
          <w:rFonts w:ascii="Spectral Regular" w:eastAsia="Spectral Regular" w:hAnsi="Spectral Regular" w:cs="Spectral Regular"/>
        </w:rPr>
      </w:pPr>
      <w:r>
        <w:rPr>
          <w:rFonts w:ascii="Spectral Regular" w:hAnsi="Spectral Regular"/>
        </w:rPr>
        <w:t xml:space="preserve">Section 1. </w:t>
      </w:r>
      <w:r>
        <w:rPr>
          <w:rFonts w:ascii="Spectral Regular" w:hAnsi="Spectral Regular"/>
          <w:i/>
          <w:iCs/>
        </w:rPr>
        <w:t xml:space="preserve">Time being of the essence </w:t>
      </w:r>
      <w:r>
        <w:rPr>
          <w:rFonts w:ascii="Spectral Regular" w:hAnsi="Spectral Regular"/>
        </w:rPr>
        <w:t xml:space="preserve">of the PROJECT, delay in the completion of the PROJECT may be excusable only if the same is due to </w:t>
      </w:r>
      <w:r>
        <w:rPr>
          <w:rFonts w:ascii="Spectral Regular" w:hAnsi="Spectral Regular"/>
          <w:i/>
          <w:iCs/>
        </w:rPr>
        <w:t xml:space="preserve">force majeure, </w:t>
      </w:r>
      <w:r>
        <w:rPr>
          <w:rFonts w:ascii="Spectral Regular" w:hAnsi="Spectral Regular"/>
        </w:rPr>
        <w:t>additional works approved by the PROCURING ENTITY, or for any other special circumstance as may be determined by the PROCURING ENTITY.</w:t>
      </w:r>
    </w:p>
    <w:p w:rsidR="005148A4" w:rsidRDefault="00EB735E">
      <w:pPr>
        <w:pStyle w:val="BodySpectral"/>
        <w:widowControl w:val="0"/>
        <w:spacing w:before="200"/>
        <w:ind w:left="847"/>
        <w:rPr>
          <w:rFonts w:ascii="Spectral Regular" w:eastAsia="Spectral Regular" w:hAnsi="Spectral Regular" w:cs="Spectral Regular"/>
          <w:i/>
          <w:iCs/>
          <w:sz w:val="24"/>
          <w:szCs w:val="24"/>
        </w:rPr>
      </w:pPr>
      <w:r>
        <w:rPr>
          <w:rFonts w:ascii="Spectral Regular" w:hAnsi="Spectral Regular"/>
          <w:sz w:val="24"/>
          <w:szCs w:val="24"/>
        </w:rPr>
        <w:t>Section</w:t>
      </w:r>
      <w:r>
        <w:rPr>
          <w:rFonts w:ascii="Spectral Regular" w:hAnsi="Spectral Regular"/>
          <w:spacing w:val="-7"/>
          <w:sz w:val="24"/>
          <w:szCs w:val="24"/>
        </w:rPr>
        <w:t xml:space="preserve"> </w:t>
      </w:r>
      <w:r>
        <w:rPr>
          <w:rFonts w:ascii="Spectral Regular" w:hAnsi="Spectral Regular"/>
          <w:sz w:val="24"/>
          <w:szCs w:val="24"/>
        </w:rPr>
        <w:t>2.</w:t>
      </w:r>
      <w:r>
        <w:rPr>
          <w:rFonts w:ascii="Spectral Regular" w:hAnsi="Spectral Regular"/>
          <w:spacing w:val="-6"/>
          <w:sz w:val="24"/>
          <w:szCs w:val="24"/>
        </w:rPr>
        <w:t xml:space="preserve"> </w:t>
      </w:r>
      <w:r>
        <w:rPr>
          <w:rFonts w:ascii="Spectral Regular" w:hAnsi="Spectral Regular"/>
          <w:i/>
          <w:iCs/>
          <w:sz w:val="24"/>
          <w:szCs w:val="24"/>
        </w:rPr>
        <w:t>Force</w:t>
      </w:r>
      <w:r>
        <w:rPr>
          <w:rFonts w:ascii="Spectral Regular" w:hAnsi="Spectral Regular"/>
          <w:i/>
          <w:iCs/>
          <w:spacing w:val="-5"/>
          <w:sz w:val="24"/>
          <w:szCs w:val="24"/>
        </w:rPr>
        <w:t xml:space="preserve"> </w:t>
      </w:r>
      <w:r>
        <w:rPr>
          <w:rFonts w:ascii="Spectral Regular" w:hAnsi="Spectral Regular"/>
          <w:i/>
          <w:iCs/>
          <w:spacing w:val="-2"/>
          <w:sz w:val="24"/>
          <w:szCs w:val="24"/>
        </w:rPr>
        <w:t>Majeure</w:t>
      </w:r>
    </w:p>
    <w:p w:rsidR="005148A4" w:rsidRDefault="00EB735E">
      <w:pPr>
        <w:pStyle w:val="Default"/>
        <w:widowControl w:val="0"/>
        <w:numPr>
          <w:ilvl w:val="1"/>
          <w:numId w:val="14"/>
        </w:numPr>
        <w:spacing w:before="120"/>
        <w:ind w:right="100"/>
        <w:jc w:val="both"/>
        <w:rPr>
          <w:rFonts w:ascii="Spectral Regular" w:hAnsi="Spectral Regular"/>
        </w:rPr>
      </w:pPr>
      <w:r>
        <w:rPr>
          <w:rFonts w:ascii="Spectral Regular" w:hAnsi="Spectral Regular"/>
          <w:i/>
          <w:iCs/>
        </w:rPr>
        <w:t xml:space="preserve">Force Majeure </w:t>
      </w:r>
      <w:r>
        <w:rPr>
          <w:rFonts w:ascii="Spectral Regular" w:hAnsi="Spectral Regular"/>
        </w:rPr>
        <w:t xml:space="preserve">is deﬁned as any circumstance beyond the control of any party which </w:t>
      </w:r>
      <w:r>
        <w:rPr>
          <w:rFonts w:ascii="Spectral Regular" w:hAnsi="Spectral Regular"/>
          <w:i/>
          <w:iCs/>
        </w:rPr>
        <w:t xml:space="preserve">directly prevents the party from performing its obligations </w:t>
      </w:r>
      <w:r>
        <w:rPr>
          <w:rFonts w:ascii="Spectral Regular" w:hAnsi="Spectral Regular"/>
        </w:rPr>
        <w:t>under this Contract such as, but not limited to extraordinary weather conditions, ﬁres, earthquakes or other natural calamities, valid work stoppage, or suspension, orders of the government, civil disorder, war, and other hostilities.</w:t>
      </w:r>
    </w:p>
    <w:p w:rsidR="005148A4" w:rsidRDefault="00EB735E">
      <w:pPr>
        <w:pStyle w:val="Default"/>
        <w:widowControl w:val="0"/>
        <w:numPr>
          <w:ilvl w:val="1"/>
          <w:numId w:val="14"/>
        </w:numPr>
        <w:spacing w:before="120"/>
        <w:ind w:right="115"/>
        <w:jc w:val="both"/>
        <w:rPr>
          <w:rFonts w:ascii="Spectral Regular" w:hAnsi="Spectral Regular"/>
        </w:rPr>
      </w:pPr>
      <w:r>
        <w:rPr>
          <w:rFonts w:ascii="Spectral Regular" w:hAnsi="Spectral Regular"/>
        </w:rPr>
        <w:t>For purposes of this Contract, the terms: “</w:t>
      </w:r>
      <w:r>
        <w:rPr>
          <w:rFonts w:ascii="Spectral Regular" w:hAnsi="Spectral Regular"/>
          <w:i/>
          <w:iCs/>
        </w:rPr>
        <w:t>force majeure</w:t>
      </w:r>
      <w:r>
        <w:rPr>
          <w:rFonts w:ascii="Spectral Regular" w:hAnsi="Spectral Regular"/>
        </w:rPr>
        <w:t>” and “fortuitous event,” may be used interchangeably.</w:t>
      </w:r>
    </w:p>
    <w:p w:rsidR="005148A4" w:rsidRDefault="00EB735E">
      <w:pPr>
        <w:pStyle w:val="Default"/>
        <w:widowControl w:val="0"/>
        <w:numPr>
          <w:ilvl w:val="1"/>
          <w:numId w:val="14"/>
        </w:numPr>
        <w:spacing w:before="120"/>
        <w:ind w:right="115"/>
        <w:jc w:val="both"/>
        <w:rPr>
          <w:rFonts w:ascii="Spectral Regular" w:hAnsi="Spectral Regular"/>
        </w:rPr>
      </w:pPr>
      <w:r>
        <w:rPr>
          <w:rFonts w:ascii="Spectral Regular" w:hAnsi="Spectral Regular"/>
        </w:rPr>
        <w:t xml:space="preserve">In case of </w:t>
      </w:r>
      <w:r>
        <w:rPr>
          <w:rFonts w:ascii="Spectral Regular" w:hAnsi="Spectral Regular"/>
          <w:i/>
          <w:iCs/>
        </w:rPr>
        <w:t>force majeure</w:t>
      </w:r>
      <w:r>
        <w:rPr>
          <w:rFonts w:ascii="Spectral Regular" w:hAnsi="Spectral Regular"/>
        </w:rPr>
        <w:t>, the aﬀected party shall give a written notice to the other party of the circumstance/s within ﬁve (5) days of its occurrence.</w:t>
      </w:r>
    </w:p>
    <w:p w:rsidR="005148A4" w:rsidRDefault="00EB735E">
      <w:pPr>
        <w:pStyle w:val="Default"/>
        <w:widowControl w:val="0"/>
        <w:numPr>
          <w:ilvl w:val="1"/>
          <w:numId w:val="14"/>
        </w:numPr>
        <w:spacing w:before="120"/>
        <w:ind w:right="105"/>
        <w:jc w:val="both"/>
        <w:rPr>
          <w:rFonts w:ascii="Spectral Regular" w:hAnsi="Spectral Regular"/>
        </w:rPr>
      </w:pPr>
      <w:r>
        <w:rPr>
          <w:rFonts w:ascii="Spectral Regular" w:hAnsi="Spectral Regular"/>
        </w:rPr>
        <w:t>Extension of the period of compliance shall be mutually agreed by the parties in writing.</w:t>
      </w:r>
    </w:p>
    <w:p w:rsidR="005148A4" w:rsidRDefault="00EB735E">
      <w:pPr>
        <w:pStyle w:val="Default"/>
        <w:widowControl w:val="0"/>
        <w:numPr>
          <w:ilvl w:val="1"/>
          <w:numId w:val="14"/>
        </w:numPr>
        <w:spacing w:before="0" w:after="160"/>
        <w:ind w:right="101"/>
        <w:jc w:val="both"/>
        <w:rPr>
          <w:rFonts w:ascii="Spectral Regular" w:hAnsi="Spectral Regular"/>
        </w:rPr>
      </w:pPr>
      <w:r>
        <w:rPr>
          <w:rFonts w:ascii="Spectral Regular" w:hAnsi="Spectral Regular"/>
        </w:rPr>
        <w:t xml:space="preserve">In spite of </w:t>
      </w:r>
      <w:r>
        <w:rPr>
          <w:rFonts w:ascii="Spectral Regular" w:hAnsi="Spectral Regular"/>
          <w:i/>
          <w:iCs/>
        </w:rPr>
        <w:t xml:space="preserve">force majeure, </w:t>
      </w:r>
      <w:r>
        <w:rPr>
          <w:rFonts w:ascii="Spectral Regular" w:hAnsi="Spectral Regular"/>
        </w:rPr>
        <w:t>the CONTRACTOR shall endeavor to continue in the performance of its obligations so far as reasonably practicable. In such cases, the CONTRACTOR shall give the PROCURING ENTITY a written schedule and steps it proposes to take including any alternative means for the performance of its obligations. The CONTRACTOR shall not take any such steps unless authorized in writing by the PROCURING ENTITY.</w:t>
      </w:r>
    </w:p>
    <w:p w:rsidR="005148A4" w:rsidRDefault="00EB735E">
      <w:pPr>
        <w:pStyle w:val="Subtitle"/>
      </w:pPr>
      <w:bookmarkStart w:id="8" w:name="_Toc8"/>
      <w:r>
        <w:rPr>
          <w:rStyle w:val="NoneA"/>
          <w:rFonts w:eastAsia="Arial Unicode MS" w:cs="Arial Unicode MS"/>
        </w:rPr>
        <w:t xml:space="preserve">ARTICLE 9 - Performance Security </w:t>
      </w:r>
      <w:bookmarkEnd w:id="8"/>
    </w:p>
    <w:p w:rsidR="005148A4" w:rsidRDefault="00EB735E">
      <w:pPr>
        <w:pStyle w:val="Default"/>
        <w:widowControl w:val="0"/>
        <w:spacing w:before="200"/>
        <w:ind w:left="127" w:right="106" w:firstLine="720"/>
        <w:jc w:val="both"/>
        <w:rPr>
          <w:rFonts w:ascii="Spectral Regular" w:eastAsia="Spectral Regular" w:hAnsi="Spectral Regular" w:cs="Spectral Regular"/>
        </w:rPr>
      </w:pPr>
      <w:r>
        <w:rPr>
          <w:rFonts w:ascii="Spectral Regular" w:hAnsi="Spectral Regular"/>
        </w:rPr>
        <w:t xml:space="preserve">Section 1. To guarantee the faithful performance by the CONTRACTOR of its obligations under this Contract as prepared in accordance with the bidding documents, the CONTRACTOR shall post a </w:t>
      </w:r>
      <w:r>
        <w:rPr>
          <w:rFonts w:ascii="Spectral Regular" w:hAnsi="Spectral Regular"/>
          <w:i/>
          <w:iCs/>
        </w:rPr>
        <w:t xml:space="preserve">Performance Security </w:t>
      </w:r>
      <w:r>
        <w:rPr>
          <w:rFonts w:ascii="Spectral Regular" w:hAnsi="Spectral Regular"/>
        </w:rPr>
        <w:t xml:space="preserve">upon the signing of the Contract. The </w:t>
      </w:r>
      <w:r>
        <w:rPr>
          <w:rFonts w:ascii="Spectral Regular" w:hAnsi="Spectral Regular"/>
          <w:i/>
          <w:iCs/>
        </w:rPr>
        <w:t xml:space="preserve">Performance Security </w:t>
      </w:r>
      <w:r>
        <w:rPr>
          <w:rFonts w:ascii="Spectral Regular" w:hAnsi="Spectral Regular"/>
        </w:rPr>
        <w:t>may be in any of the following forms and corresponding minimum amount in percentage of the Contract Price:</w:t>
      </w:r>
    </w:p>
    <w:p w:rsidR="005148A4" w:rsidRDefault="005148A4">
      <w:pPr>
        <w:pStyle w:val="Default"/>
        <w:widowControl w:val="0"/>
        <w:spacing w:before="0"/>
        <w:ind w:left="832"/>
        <w:rPr>
          <w:rFonts w:ascii="Spectral Regular" w:eastAsia="Spectral Regular" w:hAnsi="Spectral Regular" w:cs="Spectral Regular"/>
          <w:sz w:val="20"/>
          <w:szCs w:val="20"/>
        </w:rPr>
      </w:pPr>
    </w:p>
    <w:p w:rsidR="005148A4" w:rsidRDefault="005148A4">
      <w:pPr>
        <w:pStyle w:val="Default"/>
        <w:widowControl w:val="0"/>
        <w:spacing w:before="9"/>
        <w:ind w:left="832"/>
        <w:rPr>
          <w:rFonts w:ascii="Spectral Regular" w:eastAsia="Spectral Regular" w:hAnsi="Spectral Regular" w:cs="Spectral Regular"/>
          <w:sz w:val="27"/>
          <w:szCs w:val="27"/>
        </w:rPr>
      </w:pPr>
    </w:p>
    <w:tbl>
      <w:tblPr>
        <w:tblW w:w="9160" w:type="dxa"/>
        <w:tblInd w:w="36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640"/>
        <w:gridCol w:w="4520"/>
      </w:tblGrid>
      <w:tr w:rsidR="005148A4">
        <w:trPr>
          <w:trHeight w:val="675"/>
        </w:trPr>
        <w:tc>
          <w:tcPr>
            <w:tcW w:w="464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898" w:type="dxa"/>
              <w:bottom w:w="80" w:type="dxa"/>
              <w:right w:w="80" w:type="dxa"/>
            </w:tcMar>
          </w:tcPr>
          <w:p w:rsidR="005148A4" w:rsidRDefault="00EB735E">
            <w:pPr>
              <w:pStyle w:val="Body"/>
              <w:widowControl w:val="0"/>
              <w:spacing w:before="41"/>
              <w:ind w:left="818"/>
            </w:pPr>
            <w:r>
              <w:rPr>
                <w:b/>
                <w:bCs/>
                <w14:textOutline w14:w="12700" w14:cap="flat" w14:cmpd="sng" w14:algn="ctr">
                  <w14:noFill/>
                  <w14:prstDash w14:val="solid"/>
                  <w14:miter w14:lim="400000"/>
                </w14:textOutline>
              </w:rPr>
              <w:t>Form of Security</w:t>
            </w:r>
          </w:p>
        </w:tc>
        <w:tc>
          <w:tcPr>
            <w:tcW w:w="452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1704" w:type="dxa"/>
              <w:bottom w:w="80" w:type="dxa"/>
              <w:right w:w="80" w:type="dxa"/>
            </w:tcMar>
          </w:tcPr>
          <w:p w:rsidR="005148A4" w:rsidRDefault="00EB735E">
            <w:pPr>
              <w:pStyle w:val="Body"/>
              <w:widowControl w:val="0"/>
              <w:spacing w:before="41" w:line="261" w:lineRule="auto"/>
              <w:ind w:left="1624" w:hanging="968"/>
            </w:pPr>
            <w:r>
              <w:rPr>
                <w:b/>
                <w:bCs/>
                <w14:textOutline w14:w="12700" w14:cap="flat" w14:cmpd="sng" w14:algn="ctr">
                  <w14:noFill/>
                  <w14:prstDash w14:val="solid"/>
                  <w14:miter w14:lim="400000"/>
                </w14:textOutline>
              </w:rPr>
              <w:t xml:space="preserve">Minimum Amount in % of </w:t>
            </w:r>
            <w:r>
              <w:rPr>
                <w:b/>
                <w:bCs/>
                <w14:textOutline w14:w="12700" w14:cap="flat" w14:cmpd="sng" w14:algn="ctr">
                  <w14:noFill/>
                  <w14:prstDash w14:val="solid"/>
                  <w14:miter w14:lim="400000"/>
                </w14:textOutline>
              </w:rPr>
              <w:lastRenderedPageBreak/>
              <w:t>Total Contract Price</w:t>
            </w:r>
          </w:p>
        </w:tc>
      </w:tr>
      <w:tr w:rsidR="005148A4">
        <w:trPr>
          <w:trHeight w:val="1086"/>
        </w:trPr>
        <w:tc>
          <w:tcPr>
            <w:tcW w:w="4640" w:type="dxa"/>
            <w:tcBorders>
              <w:top w:val="single" w:sz="12" w:space="0" w:color="000000"/>
              <w:left w:val="single" w:sz="12" w:space="0" w:color="000000"/>
              <w:bottom w:val="single" w:sz="12" w:space="0" w:color="000000"/>
              <w:right w:val="single" w:sz="12" w:space="0" w:color="000000"/>
            </w:tcBorders>
            <w:shd w:val="clear" w:color="auto" w:fill="E8ECF3"/>
            <w:tcMar>
              <w:top w:w="80" w:type="dxa"/>
              <w:left w:w="208" w:type="dxa"/>
              <w:bottom w:w="80" w:type="dxa"/>
              <w:right w:w="108" w:type="dxa"/>
            </w:tcMar>
          </w:tcPr>
          <w:p w:rsidR="005148A4" w:rsidRDefault="00EB735E">
            <w:pPr>
              <w:pStyle w:val="Body"/>
              <w:widowControl w:val="0"/>
              <w:spacing w:before="51" w:line="204" w:lineRule="auto"/>
              <w:ind w:left="128" w:right="28"/>
              <w:jc w:val="both"/>
            </w:pPr>
            <w:r>
              <w:rPr>
                <w:rFonts w:ascii="Spectral Regular" w:hAnsi="Spectral Regular"/>
                <w14:textOutline w14:w="12700" w14:cap="flat" w14:cmpd="sng" w14:algn="ctr">
                  <w14:noFill/>
                  <w14:prstDash w14:val="solid"/>
                  <w14:miter w14:lim="400000"/>
                </w14:textOutline>
              </w:rPr>
              <w:lastRenderedPageBreak/>
              <w:t>1. Cash, certiﬁed check, cashier’s check, manager’s check, bank draft or irrevocable letter of credit</w:t>
            </w:r>
          </w:p>
        </w:tc>
        <w:tc>
          <w:tcPr>
            <w:tcW w:w="4520" w:type="dxa"/>
            <w:tcBorders>
              <w:top w:val="single" w:sz="12" w:space="0" w:color="000000"/>
              <w:left w:val="single" w:sz="12" w:space="0" w:color="000000"/>
              <w:bottom w:val="single" w:sz="12" w:space="0" w:color="000000"/>
              <w:right w:val="single" w:sz="12" w:space="0" w:color="000000"/>
            </w:tcBorders>
            <w:shd w:val="clear" w:color="auto" w:fill="E8ECF3"/>
            <w:tcMar>
              <w:top w:w="80" w:type="dxa"/>
              <w:left w:w="1005" w:type="dxa"/>
              <w:bottom w:w="80" w:type="dxa"/>
              <w:right w:w="629" w:type="dxa"/>
            </w:tcMar>
          </w:tcPr>
          <w:p w:rsidR="005148A4" w:rsidRDefault="00EB735E">
            <w:pPr>
              <w:pStyle w:val="Body"/>
              <w:widowControl w:val="0"/>
              <w:spacing w:before="13"/>
              <w:ind w:left="925" w:right="549"/>
              <w:jc w:val="center"/>
            </w:pPr>
            <w:r>
              <w:rPr>
                <w:rFonts w:ascii="Spectral Regular" w:hAnsi="Spectral Regular"/>
                <w14:textOutline w14:w="12700" w14:cap="flat" w14:cmpd="sng" w14:algn="ctr">
                  <w14:noFill/>
                  <w14:prstDash w14:val="solid"/>
                  <w14:miter w14:lim="400000"/>
                </w14:textOutline>
              </w:rPr>
              <w:t>Five percent (5%)</w:t>
            </w:r>
          </w:p>
        </w:tc>
      </w:tr>
      <w:tr w:rsidR="005148A4">
        <w:trPr>
          <w:trHeight w:val="461"/>
        </w:trPr>
        <w:tc>
          <w:tcPr>
            <w:tcW w:w="464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208" w:type="dxa"/>
              <w:bottom w:w="80" w:type="dxa"/>
              <w:right w:w="80" w:type="dxa"/>
            </w:tcMar>
          </w:tcPr>
          <w:p w:rsidR="005148A4" w:rsidRDefault="00EB735E">
            <w:pPr>
              <w:pStyle w:val="Body"/>
              <w:widowControl w:val="0"/>
              <w:spacing w:before="8" w:line="362" w:lineRule="exact"/>
              <w:ind w:left="128"/>
            </w:pPr>
            <w:r>
              <w:rPr>
                <w:rFonts w:ascii="Spectral Regular" w:hAnsi="Spectral Regular"/>
                <w14:textOutline w14:w="12700" w14:cap="flat" w14:cmpd="sng" w14:algn="ctr">
                  <w14:noFill/>
                  <w14:prstDash w14:val="solid"/>
                  <w14:miter w14:lim="400000"/>
                </w14:textOutline>
              </w:rPr>
              <w:t>2. Bank guarantee</w:t>
            </w:r>
          </w:p>
        </w:tc>
        <w:tc>
          <w:tcPr>
            <w:tcW w:w="452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1005" w:type="dxa"/>
              <w:bottom w:w="80" w:type="dxa"/>
              <w:right w:w="629" w:type="dxa"/>
            </w:tcMar>
          </w:tcPr>
          <w:p w:rsidR="005148A4" w:rsidRDefault="00EB735E">
            <w:pPr>
              <w:pStyle w:val="Body"/>
              <w:widowControl w:val="0"/>
              <w:spacing w:before="8" w:line="362" w:lineRule="exact"/>
              <w:ind w:left="925" w:right="549"/>
              <w:jc w:val="center"/>
            </w:pPr>
            <w:r>
              <w:rPr>
                <w:rFonts w:ascii="Spectral Regular" w:hAnsi="Spectral Regular"/>
                <w14:textOutline w14:w="12700" w14:cap="flat" w14:cmpd="sng" w14:algn="ctr">
                  <w14:noFill/>
                  <w14:prstDash w14:val="solid"/>
                  <w14:miter w14:lim="400000"/>
                </w14:textOutline>
              </w:rPr>
              <w:t>Ten percent (10%)</w:t>
            </w:r>
          </w:p>
        </w:tc>
      </w:tr>
      <w:tr w:rsidR="005148A4">
        <w:trPr>
          <w:trHeight w:val="457"/>
        </w:trPr>
        <w:tc>
          <w:tcPr>
            <w:tcW w:w="4640" w:type="dxa"/>
            <w:tcBorders>
              <w:top w:val="single" w:sz="12" w:space="0" w:color="000000"/>
              <w:left w:val="single" w:sz="12" w:space="0" w:color="000000"/>
              <w:bottom w:val="single" w:sz="12" w:space="0" w:color="000000"/>
              <w:right w:val="single" w:sz="12" w:space="0" w:color="000000"/>
            </w:tcBorders>
            <w:shd w:val="clear" w:color="auto" w:fill="E8ECF3"/>
            <w:tcMar>
              <w:top w:w="80" w:type="dxa"/>
              <w:left w:w="208" w:type="dxa"/>
              <w:bottom w:w="80" w:type="dxa"/>
              <w:right w:w="80" w:type="dxa"/>
            </w:tcMar>
          </w:tcPr>
          <w:p w:rsidR="005148A4" w:rsidRDefault="00EB735E">
            <w:pPr>
              <w:pStyle w:val="Body"/>
              <w:widowControl w:val="0"/>
              <w:spacing w:before="12" w:line="357" w:lineRule="exact"/>
              <w:ind w:left="128"/>
            </w:pPr>
            <w:r>
              <w:rPr>
                <w:rFonts w:ascii="Spectral Regular" w:hAnsi="Spectral Regular"/>
                <w14:textOutline w14:w="12700" w14:cap="flat" w14:cmpd="sng" w14:algn="ctr">
                  <w14:noFill/>
                  <w14:prstDash w14:val="solid"/>
                  <w14:miter w14:lim="400000"/>
                </w14:textOutline>
              </w:rPr>
              <w:t>3. Surety bond</w:t>
            </w:r>
          </w:p>
        </w:tc>
        <w:tc>
          <w:tcPr>
            <w:tcW w:w="4520" w:type="dxa"/>
            <w:tcBorders>
              <w:top w:val="single" w:sz="12" w:space="0" w:color="000000"/>
              <w:left w:val="single" w:sz="12" w:space="0" w:color="000000"/>
              <w:bottom w:val="single" w:sz="12" w:space="0" w:color="000000"/>
              <w:right w:val="single" w:sz="12" w:space="0" w:color="000000"/>
            </w:tcBorders>
            <w:shd w:val="clear" w:color="auto" w:fill="E8ECF3"/>
            <w:tcMar>
              <w:top w:w="80" w:type="dxa"/>
              <w:left w:w="1005" w:type="dxa"/>
              <w:bottom w:w="80" w:type="dxa"/>
              <w:right w:w="629" w:type="dxa"/>
            </w:tcMar>
          </w:tcPr>
          <w:p w:rsidR="005148A4" w:rsidRDefault="00EB735E">
            <w:pPr>
              <w:pStyle w:val="Body"/>
              <w:widowControl w:val="0"/>
              <w:spacing w:before="12" w:line="357" w:lineRule="exact"/>
              <w:ind w:left="925" w:right="549"/>
              <w:jc w:val="center"/>
            </w:pPr>
            <w:r>
              <w:rPr>
                <w:rFonts w:ascii="Spectral Regular" w:hAnsi="Spectral Regular"/>
                <w14:textOutline w14:w="12700" w14:cap="flat" w14:cmpd="sng" w14:algn="ctr">
                  <w14:noFill/>
                  <w14:prstDash w14:val="solid"/>
                  <w14:miter w14:lim="400000"/>
                </w14:textOutline>
              </w:rPr>
              <w:t>Thirty percent (30%)</w:t>
            </w:r>
          </w:p>
        </w:tc>
      </w:tr>
      <w:tr w:rsidR="005148A4">
        <w:trPr>
          <w:trHeight w:val="820"/>
        </w:trPr>
        <w:tc>
          <w:tcPr>
            <w:tcW w:w="464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208" w:type="dxa"/>
              <w:bottom w:w="80" w:type="dxa"/>
              <w:right w:w="80" w:type="dxa"/>
            </w:tcMar>
          </w:tcPr>
          <w:p w:rsidR="005148A4" w:rsidRDefault="00EB735E">
            <w:pPr>
              <w:pStyle w:val="Body"/>
              <w:widowControl w:val="0"/>
              <w:spacing w:before="18"/>
              <w:ind w:left="128"/>
            </w:pPr>
            <w:r>
              <w:rPr>
                <w:rFonts w:ascii="Spectral Regular" w:hAnsi="Spectral Regular"/>
                <w14:textOutline w14:w="12700" w14:cap="flat" w14:cmpd="sng" w14:algn="ctr">
                  <w14:noFill/>
                  <w14:prstDash w14:val="solid"/>
                  <w14:miter w14:lim="400000"/>
                </w14:textOutline>
              </w:rPr>
              <w:t>4. Foreign government guarantee</w:t>
            </w:r>
          </w:p>
        </w:tc>
        <w:tc>
          <w:tcPr>
            <w:tcW w:w="4520" w:type="dxa"/>
            <w:tcBorders>
              <w:top w:val="single" w:sz="12" w:space="0" w:color="000000"/>
              <w:left w:val="single" w:sz="12" w:space="0" w:color="000000"/>
              <w:bottom w:val="single" w:sz="12" w:space="0" w:color="000000"/>
              <w:right w:val="single" w:sz="12" w:space="0" w:color="000000"/>
            </w:tcBorders>
            <w:shd w:val="clear" w:color="auto" w:fill="auto"/>
            <w:tcMar>
              <w:top w:w="80" w:type="dxa"/>
              <w:left w:w="1005" w:type="dxa"/>
              <w:bottom w:w="80" w:type="dxa"/>
              <w:right w:w="629" w:type="dxa"/>
            </w:tcMar>
          </w:tcPr>
          <w:p w:rsidR="005148A4" w:rsidRDefault="00EB735E">
            <w:pPr>
              <w:pStyle w:val="Body"/>
              <w:widowControl w:val="0"/>
              <w:spacing w:before="18"/>
              <w:ind w:left="925" w:right="549"/>
              <w:jc w:val="center"/>
            </w:pPr>
            <w:r>
              <w:rPr>
                <w:rFonts w:ascii="Spectral Regular" w:hAnsi="Spectral Regular"/>
                <w14:textOutline w14:w="12700" w14:cap="flat" w14:cmpd="sng" w14:algn="ctr">
                  <w14:noFill/>
                  <w14:prstDash w14:val="solid"/>
                  <w14:miter w14:lim="400000"/>
                </w14:textOutline>
              </w:rPr>
              <w:t>One hundred percent (100%)</w:t>
            </w:r>
          </w:p>
        </w:tc>
      </w:tr>
    </w:tbl>
    <w:p w:rsidR="005148A4" w:rsidRDefault="005148A4">
      <w:pPr>
        <w:pStyle w:val="Default"/>
        <w:widowControl w:val="0"/>
        <w:spacing w:before="9"/>
        <w:ind w:left="257" w:hanging="257"/>
        <w:rPr>
          <w:rFonts w:ascii="Spectral Regular" w:eastAsia="Spectral Regular" w:hAnsi="Spectral Regular" w:cs="Spectral Regular"/>
          <w:sz w:val="27"/>
          <w:szCs w:val="27"/>
        </w:rPr>
      </w:pPr>
    </w:p>
    <w:p w:rsidR="005148A4" w:rsidRDefault="005148A4">
      <w:pPr>
        <w:pStyle w:val="Default"/>
        <w:widowControl w:val="0"/>
        <w:spacing w:before="9"/>
        <w:ind w:left="149" w:firstLine="683"/>
        <w:rPr>
          <w:rFonts w:ascii="Spectral Regular" w:eastAsia="Spectral Regular" w:hAnsi="Spectral Regular" w:cs="Spectral Regular"/>
          <w:sz w:val="27"/>
          <w:szCs w:val="27"/>
        </w:rPr>
      </w:pPr>
    </w:p>
    <w:p w:rsidR="005148A4" w:rsidRDefault="00EB735E">
      <w:pPr>
        <w:pStyle w:val="Default"/>
        <w:widowControl w:val="0"/>
        <w:spacing w:before="80"/>
        <w:ind w:left="127" w:right="108" w:firstLine="720"/>
        <w:jc w:val="both"/>
        <w:rPr>
          <w:rFonts w:ascii="Spectral Regular" w:eastAsia="Spectral Regular" w:hAnsi="Spectral Regular" w:cs="Spectral Regular"/>
        </w:rPr>
      </w:pPr>
      <w:r>
        <w:rPr>
          <w:rFonts w:ascii="Spectral Regular" w:hAnsi="Spectral Regular"/>
        </w:rPr>
        <w:t xml:space="preserve">Section 2. The </w:t>
      </w:r>
      <w:r>
        <w:rPr>
          <w:rFonts w:ascii="Spectral Regular" w:hAnsi="Spectral Regular"/>
          <w:i/>
          <w:iCs/>
        </w:rPr>
        <w:t xml:space="preserve">Performance Security </w:t>
      </w:r>
      <w:r>
        <w:rPr>
          <w:rFonts w:ascii="Spectral Regular" w:hAnsi="Spectral Regular"/>
        </w:rPr>
        <w:t>shall be posted in favor of the PROCURING ENTITY concerned and shall be forfeited in favor of the PROCURING ENTITY in the event it is established that the CONTRACTOR is in default in any of its obligations under the Contract.</w:t>
      </w:r>
    </w:p>
    <w:p w:rsidR="005148A4" w:rsidRDefault="00EB735E">
      <w:pPr>
        <w:pStyle w:val="Default"/>
        <w:widowControl w:val="0"/>
        <w:spacing w:before="80"/>
        <w:ind w:left="127" w:right="108" w:firstLine="720"/>
        <w:jc w:val="both"/>
        <w:rPr>
          <w:rFonts w:ascii="Spectral Regular" w:eastAsia="Spectral Regular" w:hAnsi="Spectral Regular" w:cs="Spectral Regular"/>
        </w:rPr>
      </w:pPr>
      <w:r>
        <w:rPr>
          <w:rFonts w:ascii="Spectral Regular" w:hAnsi="Spectral Regular"/>
        </w:rPr>
        <w:t xml:space="preserve">Section 3. In the execution of the </w:t>
      </w:r>
      <w:r>
        <w:rPr>
          <w:rFonts w:ascii="Spectral Regular" w:hAnsi="Spectral Regular"/>
          <w:i/>
          <w:iCs/>
        </w:rPr>
        <w:t>Performance Security</w:t>
      </w:r>
      <w:r>
        <w:rPr>
          <w:rFonts w:ascii="Spectral Regular" w:hAnsi="Spectral Regular"/>
        </w:rPr>
        <w:t xml:space="preserve">, the following </w:t>
      </w:r>
      <w:r>
        <w:rPr>
          <w:rFonts w:ascii="Spectral Regular" w:hAnsi="Spectral Regular"/>
          <w:i/>
          <w:iCs/>
        </w:rPr>
        <w:t xml:space="preserve">conditions </w:t>
      </w:r>
      <w:r>
        <w:rPr>
          <w:rFonts w:ascii="Spectral Regular" w:hAnsi="Spectral Regular"/>
        </w:rPr>
        <w:t>shall be complied with:</w:t>
      </w:r>
    </w:p>
    <w:p w:rsidR="005148A4" w:rsidRDefault="00EB735E">
      <w:pPr>
        <w:pStyle w:val="Default"/>
        <w:widowControl w:val="0"/>
        <w:numPr>
          <w:ilvl w:val="0"/>
          <w:numId w:val="16"/>
        </w:numPr>
        <w:spacing w:before="240"/>
        <w:ind w:right="110"/>
        <w:rPr>
          <w:rFonts w:ascii="Spectral Regular" w:hAnsi="Spectral Regular"/>
        </w:rPr>
      </w:pPr>
      <w:r>
        <w:rPr>
          <w:rFonts w:ascii="Spectral Regular" w:hAnsi="Spectral Regular"/>
        </w:rPr>
        <w:t>It shall be executed in the form prescribed by the PROCURING ENTITY concerned in the Instructions to Bidders;</w:t>
      </w:r>
    </w:p>
    <w:p w:rsidR="005148A4" w:rsidRDefault="00EB735E">
      <w:pPr>
        <w:pStyle w:val="Default"/>
        <w:widowControl w:val="0"/>
        <w:numPr>
          <w:ilvl w:val="0"/>
          <w:numId w:val="17"/>
        </w:numPr>
        <w:spacing w:before="0"/>
        <w:rPr>
          <w:rFonts w:ascii="Spectral Regular" w:hAnsi="Spectral Regular"/>
        </w:rPr>
      </w:pPr>
      <w:r>
        <w:rPr>
          <w:rFonts w:ascii="Spectral Regular" w:hAnsi="Spectral Regular"/>
        </w:rPr>
        <w:t>It shall at least be co-terminus with the ﬁnal completion of the PROJECT; and</w:t>
      </w:r>
    </w:p>
    <w:p w:rsidR="005148A4" w:rsidRDefault="00EB735E">
      <w:pPr>
        <w:pStyle w:val="Default"/>
        <w:widowControl w:val="0"/>
        <w:numPr>
          <w:ilvl w:val="0"/>
          <w:numId w:val="16"/>
        </w:numPr>
        <w:spacing w:before="0"/>
        <w:ind w:right="108"/>
        <w:rPr>
          <w:rFonts w:ascii="Spectral Regular" w:hAnsi="Spectral Regular"/>
        </w:rPr>
      </w:pPr>
      <w:r>
        <w:rPr>
          <w:rFonts w:ascii="Spectral Regular" w:hAnsi="Spectral Regular"/>
        </w:rPr>
        <w:t xml:space="preserve">For the procurement of infrastructure projects, the following provisions shall form part of the </w:t>
      </w:r>
      <w:r>
        <w:rPr>
          <w:rFonts w:ascii="Spectral Regular" w:hAnsi="Spectral Regular"/>
          <w:i/>
          <w:iCs/>
        </w:rPr>
        <w:t>Performance Security</w:t>
      </w:r>
      <w:r>
        <w:rPr>
          <w:rFonts w:ascii="Spectral Regular" w:hAnsi="Spectral Regular"/>
        </w:rPr>
        <w:t>:</w:t>
      </w:r>
    </w:p>
    <w:p w:rsidR="005148A4" w:rsidRDefault="00EB735E">
      <w:pPr>
        <w:pStyle w:val="BodySpectral"/>
        <w:widowControl w:val="0"/>
        <w:spacing w:before="201" w:line="366" w:lineRule="exact"/>
        <w:ind w:left="847" w:right="1003"/>
        <w:jc w:val="both"/>
        <w:rPr>
          <w:rFonts w:ascii="Spectral Regular" w:eastAsia="Spectral Regular" w:hAnsi="Spectral Regular" w:cs="Spectral Regular"/>
          <w:sz w:val="24"/>
          <w:szCs w:val="24"/>
        </w:rPr>
      </w:pPr>
      <w:r>
        <w:rPr>
          <w:rFonts w:ascii="Arial Unicode MS" w:hAnsi="Arial Unicode MS"/>
          <w:sz w:val="24"/>
          <w:szCs w:val="24"/>
          <w:rtl/>
          <w:lang w:val="ar-SA"/>
        </w:rPr>
        <w:t>“</w:t>
      </w:r>
      <w:r>
        <w:rPr>
          <w:rFonts w:ascii="Times New Roman" w:hAnsi="Times New Roman"/>
          <w:b/>
          <w:bCs/>
          <w:sz w:val="24"/>
          <w:szCs w:val="24"/>
          <w:lang w:val="en-US"/>
        </w:rPr>
        <w:t>The right to institute action on the penal bond pursuant to Act No.</w:t>
      </w:r>
      <w:r>
        <w:rPr>
          <w:rFonts w:ascii="Times New Roman" w:hAnsi="Times New Roman"/>
          <w:b/>
          <w:bCs/>
          <w:spacing w:val="-10"/>
          <w:sz w:val="24"/>
          <w:szCs w:val="24"/>
        </w:rPr>
        <w:t xml:space="preserve"> </w:t>
      </w:r>
      <w:r>
        <w:rPr>
          <w:rFonts w:ascii="Times New Roman" w:hAnsi="Times New Roman"/>
          <w:b/>
          <w:bCs/>
          <w:sz w:val="24"/>
          <w:szCs w:val="24"/>
          <w:lang w:val="en-US"/>
        </w:rPr>
        <w:t>3688 of</w:t>
      </w:r>
      <w:r>
        <w:rPr>
          <w:rFonts w:ascii="Times New Roman" w:hAnsi="Times New Roman"/>
          <w:b/>
          <w:bCs/>
          <w:spacing w:val="-17"/>
          <w:sz w:val="24"/>
          <w:szCs w:val="24"/>
        </w:rPr>
        <w:t xml:space="preserve"> </w:t>
      </w:r>
      <w:proofErr w:type="spellStart"/>
      <w:r>
        <w:rPr>
          <w:rFonts w:ascii="Times New Roman" w:hAnsi="Times New Roman"/>
          <w:b/>
          <w:bCs/>
          <w:sz w:val="24"/>
          <w:szCs w:val="24"/>
        </w:rPr>
        <w:t>any</w:t>
      </w:r>
      <w:proofErr w:type="spellEnd"/>
      <w:r>
        <w:rPr>
          <w:rFonts w:ascii="Times New Roman" w:hAnsi="Times New Roman"/>
          <w:b/>
          <w:bCs/>
          <w:spacing w:val="-16"/>
          <w:sz w:val="24"/>
          <w:szCs w:val="24"/>
        </w:rPr>
        <w:t xml:space="preserve"> </w:t>
      </w:r>
      <w:proofErr w:type="spellStart"/>
      <w:r>
        <w:rPr>
          <w:rFonts w:ascii="Times New Roman" w:hAnsi="Times New Roman"/>
          <w:b/>
          <w:bCs/>
          <w:sz w:val="24"/>
          <w:szCs w:val="24"/>
          <w:lang w:val="it-IT"/>
        </w:rPr>
        <w:t>individual</w:t>
      </w:r>
      <w:proofErr w:type="spellEnd"/>
      <w:r>
        <w:rPr>
          <w:rFonts w:ascii="Times New Roman" w:hAnsi="Times New Roman"/>
          <w:b/>
          <w:bCs/>
          <w:spacing w:val="-15"/>
          <w:sz w:val="24"/>
          <w:szCs w:val="24"/>
        </w:rPr>
        <w:t xml:space="preserve"> </w:t>
      </w:r>
      <w:r>
        <w:rPr>
          <w:rFonts w:ascii="Times New Roman" w:hAnsi="Times New Roman"/>
          <w:b/>
          <w:bCs/>
          <w:sz w:val="24"/>
          <w:szCs w:val="24"/>
          <w:lang w:val="en-US"/>
        </w:rPr>
        <w:t>ﬁrm,</w:t>
      </w:r>
      <w:r>
        <w:rPr>
          <w:rFonts w:ascii="Times New Roman" w:hAnsi="Times New Roman"/>
          <w:b/>
          <w:bCs/>
          <w:spacing w:val="-14"/>
          <w:sz w:val="24"/>
          <w:szCs w:val="24"/>
        </w:rPr>
        <w:t xml:space="preserve"> </w:t>
      </w:r>
      <w:r>
        <w:rPr>
          <w:rFonts w:ascii="Times New Roman" w:hAnsi="Times New Roman"/>
          <w:b/>
          <w:bCs/>
          <w:sz w:val="24"/>
          <w:szCs w:val="24"/>
          <w:lang w:val="en-US"/>
        </w:rPr>
        <w:t>partnership,</w:t>
      </w:r>
      <w:r>
        <w:rPr>
          <w:rFonts w:ascii="Times New Roman" w:hAnsi="Times New Roman"/>
          <w:b/>
          <w:bCs/>
          <w:spacing w:val="-14"/>
          <w:sz w:val="24"/>
          <w:szCs w:val="24"/>
        </w:rPr>
        <w:t xml:space="preserve"> </w:t>
      </w:r>
      <w:r>
        <w:rPr>
          <w:rFonts w:ascii="Times New Roman" w:hAnsi="Times New Roman"/>
          <w:b/>
          <w:bCs/>
          <w:sz w:val="24"/>
          <w:szCs w:val="24"/>
          <w:lang w:val="en-US"/>
        </w:rPr>
        <w:t>corporation</w:t>
      </w:r>
      <w:r>
        <w:rPr>
          <w:rFonts w:ascii="Times New Roman" w:hAnsi="Times New Roman"/>
          <w:b/>
          <w:bCs/>
          <w:spacing w:val="-14"/>
          <w:sz w:val="24"/>
          <w:szCs w:val="24"/>
        </w:rPr>
        <w:t xml:space="preserve"> </w:t>
      </w:r>
      <w:r>
        <w:rPr>
          <w:rFonts w:ascii="Times New Roman" w:hAnsi="Times New Roman"/>
          <w:b/>
          <w:bCs/>
          <w:sz w:val="24"/>
          <w:szCs w:val="24"/>
        </w:rPr>
        <w:t>and</w:t>
      </w:r>
      <w:r>
        <w:rPr>
          <w:rFonts w:ascii="Times New Roman" w:hAnsi="Times New Roman"/>
          <w:b/>
          <w:bCs/>
          <w:spacing w:val="-14"/>
          <w:sz w:val="24"/>
          <w:szCs w:val="24"/>
        </w:rPr>
        <w:t xml:space="preserve"> </w:t>
      </w:r>
      <w:r>
        <w:rPr>
          <w:rFonts w:ascii="Times New Roman" w:hAnsi="Times New Roman"/>
          <w:b/>
          <w:bCs/>
          <w:sz w:val="24"/>
          <w:szCs w:val="24"/>
        </w:rPr>
        <w:t>association</w:t>
      </w:r>
      <w:r>
        <w:rPr>
          <w:rFonts w:ascii="Times New Roman" w:hAnsi="Times New Roman"/>
          <w:b/>
          <w:bCs/>
          <w:spacing w:val="-17"/>
          <w:sz w:val="24"/>
          <w:szCs w:val="24"/>
        </w:rPr>
        <w:t xml:space="preserve"> </w:t>
      </w:r>
      <w:r>
        <w:rPr>
          <w:rFonts w:ascii="Times New Roman" w:hAnsi="Times New Roman"/>
          <w:b/>
          <w:bCs/>
          <w:sz w:val="24"/>
          <w:szCs w:val="24"/>
          <w:lang w:val="en-US"/>
        </w:rPr>
        <w:t>supplying the</w:t>
      </w:r>
      <w:r>
        <w:rPr>
          <w:rFonts w:ascii="Times New Roman" w:hAnsi="Times New Roman"/>
          <w:b/>
          <w:bCs/>
          <w:spacing w:val="-17"/>
          <w:sz w:val="24"/>
          <w:szCs w:val="24"/>
        </w:rPr>
        <w:t xml:space="preserve"> </w:t>
      </w:r>
      <w:r>
        <w:rPr>
          <w:rFonts w:ascii="Times New Roman" w:hAnsi="Times New Roman"/>
          <w:b/>
          <w:bCs/>
          <w:sz w:val="24"/>
          <w:szCs w:val="24"/>
          <w:lang w:val="en-US"/>
        </w:rPr>
        <w:t>Contract</w:t>
      </w:r>
      <w:r>
        <w:rPr>
          <w:rFonts w:ascii="Times New Roman" w:hAnsi="Times New Roman"/>
          <w:b/>
          <w:bCs/>
          <w:spacing w:val="-8"/>
          <w:sz w:val="24"/>
          <w:szCs w:val="24"/>
        </w:rPr>
        <w:t xml:space="preserve"> </w:t>
      </w:r>
      <w:r>
        <w:rPr>
          <w:rFonts w:ascii="Times New Roman" w:hAnsi="Times New Roman"/>
          <w:b/>
          <w:bCs/>
          <w:sz w:val="24"/>
          <w:szCs w:val="24"/>
        </w:rPr>
        <w:t>or</w:t>
      </w:r>
      <w:r>
        <w:rPr>
          <w:rFonts w:ascii="Times New Roman" w:hAnsi="Times New Roman"/>
          <w:b/>
          <w:bCs/>
          <w:spacing w:val="-7"/>
          <w:sz w:val="24"/>
          <w:szCs w:val="24"/>
        </w:rPr>
        <w:t xml:space="preserve"> </w:t>
      </w:r>
      <w:r>
        <w:rPr>
          <w:rFonts w:ascii="Times New Roman" w:hAnsi="Times New Roman"/>
          <w:b/>
          <w:bCs/>
          <w:sz w:val="24"/>
          <w:szCs w:val="24"/>
          <w:lang w:val="en-US"/>
        </w:rPr>
        <w:t>with</w:t>
      </w:r>
      <w:r>
        <w:rPr>
          <w:rFonts w:ascii="Times New Roman" w:hAnsi="Times New Roman"/>
          <w:b/>
          <w:bCs/>
          <w:spacing w:val="-7"/>
          <w:sz w:val="24"/>
          <w:szCs w:val="24"/>
        </w:rPr>
        <w:t xml:space="preserve"> </w:t>
      </w:r>
      <w:r>
        <w:rPr>
          <w:rFonts w:ascii="Times New Roman" w:hAnsi="Times New Roman"/>
          <w:b/>
          <w:bCs/>
          <w:sz w:val="24"/>
          <w:szCs w:val="24"/>
          <w:lang w:val="en-US"/>
        </w:rPr>
        <w:t>labor</w:t>
      </w:r>
      <w:r>
        <w:rPr>
          <w:rFonts w:ascii="Times New Roman" w:hAnsi="Times New Roman"/>
          <w:b/>
          <w:bCs/>
          <w:spacing w:val="-7"/>
          <w:sz w:val="24"/>
          <w:szCs w:val="24"/>
        </w:rPr>
        <w:t xml:space="preserve"> </w:t>
      </w:r>
      <w:r>
        <w:rPr>
          <w:rFonts w:ascii="Times New Roman" w:hAnsi="Times New Roman"/>
          <w:b/>
          <w:bCs/>
          <w:sz w:val="24"/>
          <w:szCs w:val="24"/>
        </w:rPr>
        <w:t>and</w:t>
      </w:r>
      <w:r>
        <w:rPr>
          <w:rFonts w:ascii="Times New Roman" w:hAnsi="Times New Roman"/>
          <w:b/>
          <w:bCs/>
          <w:spacing w:val="-17"/>
          <w:sz w:val="24"/>
          <w:szCs w:val="24"/>
        </w:rPr>
        <w:t xml:space="preserve"> </w:t>
      </w:r>
      <w:r>
        <w:rPr>
          <w:rFonts w:ascii="Times New Roman" w:hAnsi="Times New Roman"/>
          <w:b/>
          <w:bCs/>
          <w:sz w:val="24"/>
          <w:szCs w:val="24"/>
          <w:lang w:val="en-US"/>
        </w:rPr>
        <w:t>materials</w:t>
      </w:r>
      <w:r>
        <w:rPr>
          <w:rFonts w:ascii="Times New Roman" w:hAnsi="Times New Roman"/>
          <w:b/>
          <w:bCs/>
          <w:spacing w:val="-16"/>
          <w:sz w:val="24"/>
          <w:szCs w:val="24"/>
        </w:rPr>
        <w:t xml:space="preserve"> </w:t>
      </w:r>
      <w:r>
        <w:rPr>
          <w:rFonts w:ascii="Times New Roman" w:hAnsi="Times New Roman"/>
          <w:b/>
          <w:bCs/>
          <w:sz w:val="24"/>
          <w:szCs w:val="24"/>
          <w:lang w:val="en-US"/>
        </w:rPr>
        <w:t>for</w:t>
      </w:r>
      <w:r>
        <w:rPr>
          <w:rFonts w:ascii="Times New Roman" w:hAnsi="Times New Roman"/>
          <w:b/>
          <w:bCs/>
          <w:spacing w:val="-17"/>
          <w:sz w:val="24"/>
          <w:szCs w:val="24"/>
        </w:rPr>
        <w:t xml:space="preserve"> </w:t>
      </w:r>
      <w:r>
        <w:rPr>
          <w:rFonts w:ascii="Times New Roman" w:hAnsi="Times New Roman"/>
          <w:b/>
          <w:bCs/>
          <w:sz w:val="24"/>
          <w:szCs w:val="24"/>
          <w:lang w:val="en-US"/>
        </w:rPr>
        <w:t>the</w:t>
      </w:r>
      <w:r>
        <w:rPr>
          <w:rFonts w:ascii="Times New Roman" w:hAnsi="Times New Roman"/>
          <w:b/>
          <w:bCs/>
          <w:spacing w:val="-16"/>
          <w:sz w:val="24"/>
          <w:szCs w:val="24"/>
        </w:rPr>
        <w:t xml:space="preserve"> </w:t>
      </w:r>
      <w:r>
        <w:rPr>
          <w:rFonts w:ascii="Times New Roman" w:hAnsi="Times New Roman"/>
          <w:b/>
          <w:bCs/>
          <w:sz w:val="24"/>
          <w:szCs w:val="24"/>
          <w:lang w:val="en-US"/>
        </w:rPr>
        <w:t>prosecution</w:t>
      </w:r>
      <w:r>
        <w:rPr>
          <w:rFonts w:ascii="Times New Roman" w:hAnsi="Times New Roman"/>
          <w:b/>
          <w:bCs/>
          <w:spacing w:val="-17"/>
          <w:sz w:val="24"/>
          <w:szCs w:val="24"/>
        </w:rPr>
        <w:t xml:space="preserve"> </w:t>
      </w:r>
      <w:r>
        <w:rPr>
          <w:rFonts w:ascii="Times New Roman" w:hAnsi="Times New Roman"/>
          <w:b/>
          <w:bCs/>
          <w:sz w:val="24"/>
          <w:szCs w:val="24"/>
          <w:lang w:val="en-US"/>
        </w:rPr>
        <w:t>of</w:t>
      </w:r>
      <w:r>
        <w:rPr>
          <w:rFonts w:ascii="Times New Roman" w:hAnsi="Times New Roman"/>
          <w:b/>
          <w:bCs/>
          <w:spacing w:val="-16"/>
          <w:sz w:val="24"/>
          <w:szCs w:val="24"/>
        </w:rPr>
        <w:t xml:space="preserve"> </w:t>
      </w:r>
      <w:r>
        <w:rPr>
          <w:rFonts w:ascii="Times New Roman" w:hAnsi="Times New Roman"/>
          <w:b/>
          <w:bCs/>
          <w:sz w:val="24"/>
          <w:szCs w:val="24"/>
          <w:lang w:val="en-US"/>
        </w:rPr>
        <w:t>the</w:t>
      </w:r>
      <w:r>
        <w:rPr>
          <w:rFonts w:ascii="Times New Roman" w:hAnsi="Times New Roman"/>
          <w:b/>
          <w:bCs/>
          <w:spacing w:val="-17"/>
          <w:sz w:val="24"/>
          <w:szCs w:val="24"/>
        </w:rPr>
        <w:t xml:space="preserve"> </w:t>
      </w:r>
      <w:r>
        <w:rPr>
          <w:rFonts w:ascii="Times New Roman" w:hAnsi="Times New Roman"/>
          <w:b/>
          <w:bCs/>
          <w:sz w:val="24"/>
          <w:szCs w:val="24"/>
          <w:lang w:val="en-US"/>
        </w:rPr>
        <w:t xml:space="preserve">work is hereby acknowledged and </w:t>
      </w:r>
      <w:proofErr w:type="spellStart"/>
      <w:r>
        <w:rPr>
          <w:rFonts w:ascii="Times New Roman" w:hAnsi="Times New Roman"/>
          <w:b/>
          <w:bCs/>
          <w:sz w:val="24"/>
          <w:szCs w:val="24"/>
          <w:lang w:val="en-US"/>
        </w:rPr>
        <w:t>conﬁ</w:t>
      </w:r>
      <w:r>
        <w:rPr>
          <w:rFonts w:ascii="Times New Roman" w:hAnsi="Times New Roman"/>
          <w:b/>
          <w:bCs/>
          <w:sz w:val="24"/>
          <w:szCs w:val="24"/>
        </w:rPr>
        <w:t>rmed</w:t>
      </w:r>
      <w:proofErr w:type="spellEnd"/>
      <w:r>
        <w:rPr>
          <w:rFonts w:ascii="Spectral Regular" w:hAnsi="Spectral Regular"/>
          <w:sz w:val="24"/>
          <w:szCs w:val="24"/>
        </w:rPr>
        <w:t>.”</w:t>
      </w:r>
    </w:p>
    <w:p w:rsidR="005148A4" w:rsidRDefault="00EB735E">
      <w:pPr>
        <w:pStyle w:val="BodyA"/>
      </w:pPr>
      <w:r>
        <w:rPr>
          <w:rStyle w:val="NoneA"/>
        </w:rPr>
        <w:t>Section 4. Subject to the conditions of</w:t>
      </w:r>
      <w:r>
        <w:rPr>
          <w:spacing w:val="-4"/>
        </w:rPr>
        <w:t xml:space="preserve"> </w:t>
      </w:r>
      <w:r>
        <w:rPr>
          <w:rStyle w:val="NoneA"/>
        </w:rPr>
        <w:t>the</w:t>
      </w:r>
      <w:r>
        <w:rPr>
          <w:spacing w:val="-4"/>
        </w:rPr>
        <w:t xml:space="preserve"> </w:t>
      </w:r>
      <w:r>
        <w:rPr>
          <w:rStyle w:val="NoneA"/>
        </w:rPr>
        <w:t>Contract,</w:t>
      </w:r>
      <w:r>
        <w:rPr>
          <w:spacing w:val="-4"/>
        </w:rPr>
        <w:t xml:space="preserve"> </w:t>
      </w:r>
      <w:r>
        <w:rPr>
          <w:rStyle w:val="NoneA"/>
        </w:rPr>
        <w:t>the</w:t>
      </w:r>
      <w:r>
        <w:rPr>
          <w:spacing w:val="-6"/>
        </w:rPr>
        <w:t xml:space="preserve"> </w:t>
      </w:r>
      <w:r>
        <w:rPr>
          <w:i/>
          <w:iCs/>
        </w:rPr>
        <w:t>Performance</w:t>
      </w:r>
      <w:r>
        <w:rPr>
          <w:i/>
          <w:iCs/>
          <w:spacing w:val="-3"/>
        </w:rPr>
        <w:t xml:space="preserve"> </w:t>
      </w:r>
      <w:r>
        <w:rPr>
          <w:i/>
          <w:iCs/>
        </w:rPr>
        <w:t>Security</w:t>
      </w:r>
      <w:r>
        <w:rPr>
          <w:i/>
          <w:iCs/>
          <w:spacing w:val="-3"/>
        </w:rPr>
        <w:t xml:space="preserve"> </w:t>
      </w:r>
      <w:r>
        <w:rPr>
          <w:rStyle w:val="NoneA"/>
        </w:rPr>
        <w:t>may</w:t>
      </w:r>
      <w:r>
        <w:rPr>
          <w:spacing w:val="-4"/>
        </w:rPr>
        <w:t xml:space="preserve"> </w:t>
      </w:r>
      <w:r>
        <w:rPr>
          <w:rStyle w:val="NoneA"/>
        </w:rPr>
        <w:t xml:space="preserve">be released by the PROCURING ENTITY concerned after the issuance of the </w:t>
      </w:r>
      <w:r>
        <w:rPr>
          <w:i/>
          <w:iCs/>
        </w:rPr>
        <w:t>Certiﬁcate</w:t>
      </w:r>
      <w:r>
        <w:rPr>
          <w:i/>
          <w:iCs/>
          <w:spacing w:val="-3"/>
        </w:rPr>
        <w:t xml:space="preserve"> </w:t>
      </w:r>
      <w:r>
        <w:rPr>
          <w:i/>
          <w:iCs/>
        </w:rPr>
        <w:t>of</w:t>
      </w:r>
      <w:r>
        <w:rPr>
          <w:i/>
          <w:iCs/>
          <w:spacing w:val="-3"/>
        </w:rPr>
        <w:t xml:space="preserve"> </w:t>
      </w:r>
      <w:r>
        <w:rPr>
          <w:i/>
          <w:iCs/>
        </w:rPr>
        <w:t>Acceptance</w:t>
      </w:r>
      <w:r>
        <w:rPr>
          <w:i/>
          <w:iCs/>
          <w:spacing w:val="-1"/>
        </w:rPr>
        <w:t xml:space="preserve"> </w:t>
      </w:r>
      <w:r>
        <w:rPr>
          <w:rStyle w:val="NoneA"/>
        </w:rPr>
        <w:t>of the goods, in the</w:t>
      </w:r>
      <w:r>
        <w:rPr>
          <w:spacing w:val="-3"/>
        </w:rPr>
        <w:t xml:space="preserve"> </w:t>
      </w:r>
      <w:r>
        <w:rPr>
          <w:rStyle w:val="NoneA"/>
        </w:rPr>
        <w:t>case</w:t>
      </w:r>
      <w:r>
        <w:rPr>
          <w:spacing w:val="-3"/>
        </w:rPr>
        <w:t xml:space="preserve"> </w:t>
      </w:r>
      <w:r>
        <w:rPr>
          <w:rStyle w:val="NoneA"/>
        </w:rPr>
        <w:t>of</w:t>
      </w:r>
      <w:r>
        <w:rPr>
          <w:spacing w:val="-3"/>
        </w:rPr>
        <w:t xml:space="preserve"> </w:t>
      </w:r>
      <w:r>
        <w:rPr>
          <w:rStyle w:val="NoneA"/>
        </w:rPr>
        <w:t>procurement</w:t>
      </w:r>
      <w:r>
        <w:rPr>
          <w:spacing w:val="-3"/>
        </w:rPr>
        <w:t xml:space="preserve"> </w:t>
      </w:r>
      <w:r>
        <w:rPr>
          <w:rStyle w:val="NoneA"/>
        </w:rPr>
        <w:t>of</w:t>
      </w:r>
      <w:r>
        <w:rPr>
          <w:spacing w:val="-3"/>
        </w:rPr>
        <w:t xml:space="preserve"> </w:t>
      </w:r>
      <w:r>
        <w:rPr>
          <w:rStyle w:val="NoneA"/>
        </w:rPr>
        <w:t>goods</w:t>
      </w:r>
      <w:r>
        <w:rPr>
          <w:spacing w:val="-3"/>
        </w:rPr>
        <w:t xml:space="preserve"> </w:t>
      </w:r>
      <w:r>
        <w:rPr>
          <w:rStyle w:val="NoneA"/>
        </w:rPr>
        <w:t>or</w:t>
      </w:r>
      <w:r>
        <w:rPr>
          <w:spacing w:val="-3"/>
        </w:rPr>
        <w:t xml:space="preserve"> </w:t>
      </w:r>
      <w:r>
        <w:rPr>
          <w:rStyle w:val="NoneA"/>
        </w:rPr>
        <w:t>consulting</w:t>
      </w:r>
      <w:r>
        <w:rPr>
          <w:spacing w:val="-3"/>
        </w:rPr>
        <w:t xml:space="preserve"> </w:t>
      </w:r>
      <w:r>
        <w:rPr>
          <w:rStyle w:val="NoneA"/>
        </w:rPr>
        <w:t>services,</w:t>
      </w:r>
      <w:r>
        <w:rPr>
          <w:spacing w:val="-3"/>
        </w:rPr>
        <w:t xml:space="preserve"> </w:t>
      </w:r>
      <w:r>
        <w:rPr>
          <w:rStyle w:val="NoneA"/>
        </w:rPr>
        <w:t>provided</w:t>
      </w:r>
      <w:r>
        <w:rPr>
          <w:spacing w:val="-3"/>
        </w:rPr>
        <w:t xml:space="preserve"> </w:t>
      </w:r>
      <w:r>
        <w:rPr>
          <w:rStyle w:val="NoneA"/>
        </w:rPr>
        <w:t>that</w:t>
      </w:r>
      <w:r>
        <w:rPr>
          <w:spacing w:val="-3"/>
        </w:rPr>
        <w:t xml:space="preserve"> </w:t>
      </w:r>
      <w:r>
        <w:rPr>
          <w:rStyle w:val="NoneA"/>
        </w:rPr>
        <w:t>there</w:t>
      </w:r>
      <w:r>
        <w:rPr>
          <w:spacing w:val="-3"/>
        </w:rPr>
        <w:t xml:space="preserve"> </w:t>
      </w:r>
      <w:r>
        <w:rPr>
          <w:rStyle w:val="NoneA"/>
        </w:rPr>
        <w:t xml:space="preserve">are no claims ﬁled against the CONTRACTOR or the surety company; or, in the case of procurement of infrastructure projects, after the issuance of the </w:t>
      </w:r>
      <w:r>
        <w:rPr>
          <w:i/>
          <w:iCs/>
        </w:rPr>
        <w:t xml:space="preserve">Certiﬁcate of Completion </w:t>
      </w:r>
      <w:r>
        <w:rPr>
          <w:rStyle w:val="NoneA"/>
        </w:rPr>
        <w:t xml:space="preserve">of the contract, provided that there are no </w:t>
      </w:r>
      <w:r>
        <w:rPr>
          <w:rStyle w:val="NoneA"/>
        </w:rPr>
        <w:lastRenderedPageBreak/>
        <w:t>claims for labor and materials ﬁled against the CONTRACTOR or the surety company.</w:t>
      </w:r>
    </w:p>
    <w:p w:rsidR="005148A4" w:rsidRDefault="00EB735E">
      <w:pPr>
        <w:pStyle w:val="Default"/>
        <w:widowControl w:val="0"/>
        <w:spacing w:before="100" w:after="100"/>
        <w:ind w:left="127" w:right="101" w:firstLine="720"/>
        <w:jc w:val="both"/>
        <w:rPr>
          <w:rFonts w:ascii="Spectral Regular" w:eastAsia="Spectral Regular" w:hAnsi="Spectral Regular" w:cs="Spectral Regular"/>
        </w:rPr>
      </w:pPr>
      <w:r>
        <w:rPr>
          <w:rFonts w:ascii="Spectral Regular" w:hAnsi="Spectral Regular"/>
        </w:rPr>
        <w:t xml:space="preserve">Section 5. The CONTRACTOR shall post </w:t>
      </w:r>
      <w:r>
        <w:rPr>
          <w:rFonts w:ascii="Spectral Regular" w:hAnsi="Spectral Regular"/>
          <w:i/>
          <w:iCs/>
        </w:rPr>
        <w:t xml:space="preserve">additional </w:t>
      </w:r>
      <w:r>
        <w:rPr>
          <w:rFonts w:ascii="Spectral Regular" w:hAnsi="Spectral Regular"/>
        </w:rPr>
        <w:t xml:space="preserve">performance security following the schedule above to cover any cumulative increase of more than ten percent (10%) over the </w:t>
      </w:r>
      <w:r>
        <w:rPr>
          <w:rFonts w:ascii="Spectral Regular" w:hAnsi="Spectral Regular"/>
          <w:i/>
          <w:iCs/>
        </w:rPr>
        <w:t xml:space="preserve">original value </w:t>
      </w:r>
      <w:r>
        <w:rPr>
          <w:rFonts w:ascii="Spectral Regular" w:hAnsi="Spectral Regular"/>
        </w:rPr>
        <w:t xml:space="preserve">of the contract as a result of amendments to order or change orders, extra work orders, and supplemental agreements, as the case may be. The CONTRACTOR shall cause the extension of the validity of the </w:t>
      </w:r>
      <w:r>
        <w:rPr>
          <w:rFonts w:ascii="Spectral Regular" w:hAnsi="Spectral Regular"/>
          <w:i/>
          <w:iCs/>
        </w:rPr>
        <w:t xml:space="preserve">Performance Security </w:t>
      </w:r>
      <w:r>
        <w:rPr>
          <w:rFonts w:ascii="Spectral Regular" w:hAnsi="Spectral Regular"/>
        </w:rPr>
        <w:t>to cover approved contract time extensions.</w:t>
      </w:r>
    </w:p>
    <w:p w:rsidR="005148A4" w:rsidRDefault="00EB735E">
      <w:pPr>
        <w:pStyle w:val="BodyA"/>
        <w:rPr>
          <w:i/>
          <w:iCs/>
        </w:rPr>
      </w:pPr>
      <w:r>
        <w:rPr>
          <w:rStyle w:val="NoneA"/>
        </w:rPr>
        <w:t>Section</w:t>
      </w:r>
      <w:r>
        <w:rPr>
          <w:spacing w:val="-2"/>
        </w:rPr>
        <w:t xml:space="preserve"> </w:t>
      </w:r>
      <w:r>
        <w:rPr>
          <w:rStyle w:val="NoneA"/>
        </w:rPr>
        <w:t>6.</w:t>
      </w:r>
      <w:r>
        <w:rPr>
          <w:spacing w:val="-2"/>
        </w:rPr>
        <w:t xml:space="preserve"> </w:t>
      </w:r>
      <w:r>
        <w:rPr>
          <w:rStyle w:val="NoneA"/>
        </w:rPr>
        <w:t>In</w:t>
      </w:r>
      <w:r>
        <w:rPr>
          <w:spacing w:val="-2"/>
        </w:rPr>
        <w:t xml:space="preserve"> </w:t>
      </w:r>
      <w:r>
        <w:rPr>
          <w:rStyle w:val="NoneA"/>
        </w:rPr>
        <w:t>case</w:t>
      </w:r>
      <w:r>
        <w:rPr>
          <w:spacing w:val="-2"/>
        </w:rPr>
        <w:t xml:space="preserve"> </w:t>
      </w:r>
      <w:r>
        <w:rPr>
          <w:rStyle w:val="NoneA"/>
        </w:rPr>
        <w:t>of</w:t>
      </w:r>
      <w:r>
        <w:rPr>
          <w:spacing w:val="-2"/>
        </w:rPr>
        <w:t xml:space="preserve"> </w:t>
      </w:r>
      <w:r>
        <w:rPr>
          <w:rStyle w:val="NoneA"/>
        </w:rPr>
        <w:t>a</w:t>
      </w:r>
      <w:r>
        <w:rPr>
          <w:spacing w:val="-2"/>
        </w:rPr>
        <w:t xml:space="preserve"> </w:t>
      </w:r>
      <w:r>
        <w:rPr>
          <w:rStyle w:val="NoneA"/>
        </w:rPr>
        <w:t>reduction</w:t>
      </w:r>
      <w:r>
        <w:rPr>
          <w:spacing w:val="-2"/>
        </w:rPr>
        <w:t xml:space="preserve"> </w:t>
      </w:r>
      <w:r>
        <w:rPr>
          <w:rStyle w:val="NoneA"/>
        </w:rPr>
        <w:t>in</w:t>
      </w:r>
      <w:r>
        <w:rPr>
          <w:spacing w:val="-2"/>
        </w:rPr>
        <w:t xml:space="preserve"> </w:t>
      </w:r>
      <w:r>
        <w:rPr>
          <w:rStyle w:val="NoneA"/>
        </w:rPr>
        <w:t>the</w:t>
      </w:r>
      <w:r>
        <w:rPr>
          <w:spacing w:val="-2"/>
        </w:rPr>
        <w:t xml:space="preserve"> </w:t>
      </w:r>
      <w:r>
        <w:rPr>
          <w:rStyle w:val="NoneA"/>
        </w:rPr>
        <w:t>contract</w:t>
      </w:r>
      <w:r>
        <w:rPr>
          <w:spacing w:val="-2"/>
        </w:rPr>
        <w:t xml:space="preserve"> </w:t>
      </w:r>
      <w:r>
        <w:rPr>
          <w:rStyle w:val="NoneA"/>
        </w:rPr>
        <w:t>value,</w:t>
      </w:r>
      <w:r>
        <w:rPr>
          <w:spacing w:val="-2"/>
        </w:rPr>
        <w:t xml:space="preserve"> </w:t>
      </w:r>
      <w:r>
        <w:rPr>
          <w:rStyle w:val="NoneA"/>
        </w:rPr>
        <w:t>or,</w:t>
      </w:r>
      <w:r>
        <w:rPr>
          <w:spacing w:val="-2"/>
        </w:rPr>
        <w:t xml:space="preserve"> </w:t>
      </w:r>
      <w:r>
        <w:rPr>
          <w:rStyle w:val="NoneA"/>
        </w:rPr>
        <w:t>in</w:t>
      </w:r>
      <w:r>
        <w:rPr>
          <w:spacing w:val="-2"/>
        </w:rPr>
        <w:t xml:space="preserve"> </w:t>
      </w:r>
      <w:r>
        <w:rPr>
          <w:rStyle w:val="NoneA"/>
        </w:rPr>
        <w:t>the</w:t>
      </w:r>
      <w:r>
        <w:rPr>
          <w:spacing w:val="-2"/>
        </w:rPr>
        <w:t xml:space="preserve"> </w:t>
      </w:r>
      <w:r>
        <w:rPr>
          <w:rStyle w:val="NoneA"/>
        </w:rPr>
        <w:t>case</w:t>
      </w:r>
      <w:r>
        <w:rPr>
          <w:spacing w:val="-2"/>
        </w:rPr>
        <w:t xml:space="preserve"> </w:t>
      </w:r>
      <w:r>
        <w:rPr>
          <w:rStyle w:val="NoneA"/>
        </w:rPr>
        <w:t>of</w:t>
      </w:r>
      <w:r>
        <w:rPr>
          <w:spacing w:val="-2"/>
        </w:rPr>
        <w:t xml:space="preserve"> </w:t>
      </w:r>
      <w:r>
        <w:rPr>
          <w:rStyle w:val="NoneA"/>
        </w:rPr>
        <w:t>procurement</w:t>
      </w:r>
      <w:r>
        <w:rPr>
          <w:spacing w:val="-2"/>
        </w:rPr>
        <w:t xml:space="preserve"> </w:t>
      </w:r>
      <w:r>
        <w:rPr>
          <w:rStyle w:val="NoneA"/>
        </w:rPr>
        <w:t>of infrastructure projects, for partially completed works under the contract which are usable and accepted by the PROCURING ENTITY, and the use of which in the judgment of the CPDMO</w:t>
      </w:r>
      <w:r>
        <w:rPr>
          <w:spacing w:val="-4"/>
        </w:rPr>
        <w:t xml:space="preserve"> </w:t>
      </w:r>
      <w:r>
        <w:rPr>
          <w:rStyle w:val="NoneA"/>
        </w:rPr>
        <w:t>of the PROCURING ENTITY will not aﬀect the structural integrity of the entire PROJECT, the PROCURING ENTITY</w:t>
      </w:r>
      <w:r>
        <w:rPr>
          <w:spacing w:val="69"/>
        </w:rPr>
        <w:t xml:space="preserve"> </w:t>
      </w:r>
      <w:r>
        <w:rPr>
          <w:rStyle w:val="NoneA"/>
        </w:rPr>
        <w:t>shall</w:t>
      </w:r>
      <w:r>
        <w:rPr>
          <w:spacing w:val="72"/>
        </w:rPr>
        <w:t xml:space="preserve"> </w:t>
      </w:r>
      <w:r>
        <w:rPr>
          <w:rStyle w:val="NoneA"/>
        </w:rPr>
        <w:t>allow</w:t>
      </w:r>
      <w:r>
        <w:rPr>
          <w:spacing w:val="70"/>
        </w:rPr>
        <w:t xml:space="preserve"> </w:t>
      </w:r>
      <w:r>
        <w:rPr>
          <w:rStyle w:val="NoneA"/>
        </w:rPr>
        <w:t>a</w:t>
      </w:r>
      <w:r>
        <w:rPr>
          <w:spacing w:val="72"/>
        </w:rPr>
        <w:t xml:space="preserve"> </w:t>
      </w:r>
      <w:r>
        <w:rPr>
          <w:rStyle w:val="NoneA"/>
        </w:rPr>
        <w:t>proportional</w:t>
      </w:r>
      <w:r>
        <w:rPr>
          <w:spacing w:val="72"/>
        </w:rPr>
        <w:t xml:space="preserve"> </w:t>
      </w:r>
      <w:r>
        <w:rPr>
          <w:rStyle w:val="NoneA"/>
        </w:rPr>
        <w:t>reduction</w:t>
      </w:r>
      <w:r>
        <w:rPr>
          <w:spacing w:val="70"/>
        </w:rPr>
        <w:t xml:space="preserve"> </w:t>
      </w:r>
      <w:r>
        <w:rPr>
          <w:rStyle w:val="NoneA"/>
        </w:rPr>
        <w:t>in</w:t>
      </w:r>
      <w:r>
        <w:rPr>
          <w:spacing w:val="72"/>
        </w:rPr>
        <w:t xml:space="preserve"> </w:t>
      </w:r>
      <w:r>
        <w:rPr>
          <w:rStyle w:val="NoneA"/>
        </w:rPr>
        <w:t>the</w:t>
      </w:r>
      <w:r>
        <w:rPr>
          <w:spacing w:val="72"/>
        </w:rPr>
        <w:t xml:space="preserve"> </w:t>
      </w:r>
      <w:r>
        <w:rPr>
          <w:rStyle w:val="NoneA"/>
        </w:rPr>
        <w:t>original</w:t>
      </w:r>
      <w:r>
        <w:rPr>
          <w:spacing w:val="70"/>
        </w:rPr>
        <w:t xml:space="preserve"> </w:t>
      </w:r>
      <w:r>
        <w:rPr>
          <w:i/>
          <w:iCs/>
        </w:rPr>
        <w:t>Performance</w:t>
      </w:r>
      <w:r>
        <w:rPr>
          <w:i/>
          <w:iCs/>
          <w:spacing w:val="57"/>
        </w:rPr>
        <w:t xml:space="preserve"> </w:t>
      </w:r>
      <w:r>
        <w:rPr>
          <w:i/>
          <w:iCs/>
          <w:spacing w:val="-2"/>
        </w:rPr>
        <w:t>Security</w:t>
      </w:r>
      <w:r>
        <w:rPr>
          <w:spacing w:val="-2"/>
        </w:rPr>
        <w:t xml:space="preserve">, </w:t>
      </w:r>
      <w:r>
        <w:rPr>
          <w:rStyle w:val="NoneA"/>
        </w:rPr>
        <w:t>provided</w:t>
      </w:r>
      <w:r>
        <w:rPr>
          <w:spacing w:val="26"/>
        </w:rPr>
        <w:t xml:space="preserve"> </w:t>
      </w:r>
      <w:r>
        <w:rPr>
          <w:rStyle w:val="NoneA"/>
        </w:rPr>
        <w:t>that</w:t>
      </w:r>
      <w:r>
        <w:rPr>
          <w:spacing w:val="26"/>
        </w:rPr>
        <w:t xml:space="preserve"> </w:t>
      </w:r>
      <w:r>
        <w:rPr>
          <w:rStyle w:val="NoneA"/>
        </w:rPr>
        <w:t>any</w:t>
      </w:r>
      <w:r>
        <w:rPr>
          <w:spacing w:val="26"/>
        </w:rPr>
        <w:t xml:space="preserve"> </w:t>
      </w:r>
      <w:r>
        <w:rPr>
          <w:rStyle w:val="NoneA"/>
        </w:rPr>
        <w:t>such</w:t>
      </w:r>
      <w:r>
        <w:rPr>
          <w:spacing w:val="26"/>
        </w:rPr>
        <w:t xml:space="preserve"> </w:t>
      </w:r>
      <w:r>
        <w:rPr>
          <w:rStyle w:val="NoneA"/>
        </w:rPr>
        <w:t>reduction</w:t>
      </w:r>
      <w:r>
        <w:rPr>
          <w:spacing w:val="26"/>
        </w:rPr>
        <w:t xml:space="preserve"> </w:t>
      </w:r>
      <w:r>
        <w:rPr>
          <w:rStyle w:val="NoneA"/>
        </w:rPr>
        <w:t>is</w:t>
      </w:r>
      <w:r>
        <w:rPr>
          <w:spacing w:val="26"/>
        </w:rPr>
        <w:t xml:space="preserve"> </w:t>
      </w:r>
      <w:r>
        <w:rPr>
          <w:rStyle w:val="NoneA"/>
        </w:rPr>
        <w:t>more</w:t>
      </w:r>
      <w:r>
        <w:rPr>
          <w:spacing w:val="26"/>
        </w:rPr>
        <w:t xml:space="preserve"> </w:t>
      </w:r>
      <w:r>
        <w:rPr>
          <w:rStyle w:val="NoneA"/>
        </w:rPr>
        <w:t>than</w:t>
      </w:r>
      <w:r>
        <w:rPr>
          <w:spacing w:val="26"/>
        </w:rPr>
        <w:t xml:space="preserve"> </w:t>
      </w:r>
      <w:r>
        <w:rPr>
          <w:rStyle w:val="NoneA"/>
        </w:rPr>
        <w:t>ten</w:t>
      </w:r>
      <w:r>
        <w:rPr>
          <w:spacing w:val="26"/>
        </w:rPr>
        <w:t xml:space="preserve"> </w:t>
      </w:r>
      <w:r>
        <w:rPr>
          <w:rStyle w:val="NoneA"/>
        </w:rPr>
        <w:t>percent</w:t>
      </w:r>
      <w:r>
        <w:rPr>
          <w:spacing w:val="26"/>
        </w:rPr>
        <w:t xml:space="preserve"> </w:t>
      </w:r>
      <w:r>
        <w:rPr>
          <w:rStyle w:val="NoneA"/>
        </w:rPr>
        <w:t>(10%)</w:t>
      </w:r>
      <w:r>
        <w:rPr>
          <w:spacing w:val="26"/>
        </w:rPr>
        <w:t xml:space="preserve"> </w:t>
      </w:r>
      <w:r>
        <w:rPr>
          <w:rStyle w:val="NoneA"/>
        </w:rPr>
        <w:t>and</w:t>
      </w:r>
      <w:r>
        <w:rPr>
          <w:spacing w:val="26"/>
        </w:rPr>
        <w:t xml:space="preserve"> </w:t>
      </w:r>
      <w:r>
        <w:rPr>
          <w:rStyle w:val="NoneA"/>
        </w:rPr>
        <w:t>that</w:t>
      </w:r>
      <w:r>
        <w:rPr>
          <w:spacing w:val="26"/>
        </w:rPr>
        <w:t xml:space="preserve"> </w:t>
      </w:r>
      <w:r>
        <w:rPr>
          <w:rStyle w:val="NoneA"/>
        </w:rPr>
        <w:t>the</w:t>
      </w:r>
      <w:r>
        <w:rPr>
          <w:spacing w:val="26"/>
        </w:rPr>
        <w:t xml:space="preserve"> </w:t>
      </w:r>
      <w:r>
        <w:rPr>
          <w:rStyle w:val="NoneA"/>
        </w:rPr>
        <w:t xml:space="preserve">aggregate of such reductions is not more than ﬁfty percent (50%) of the original </w:t>
      </w:r>
      <w:r>
        <w:rPr>
          <w:i/>
          <w:iCs/>
        </w:rPr>
        <w:t>Performance Security.</w:t>
      </w:r>
    </w:p>
    <w:p w:rsidR="005148A4" w:rsidRDefault="00EB735E">
      <w:pPr>
        <w:pStyle w:val="BodyA"/>
      </w:pPr>
      <w:r>
        <w:rPr>
          <w:rStyle w:val="NoneA"/>
        </w:rPr>
        <w:t xml:space="preserve">Section 7. If the PROJECT cannot be completed within the 60-day period to the satisfaction of the PROCURING ENTITY, the CONTRACTOR shall post a substitute </w:t>
      </w:r>
      <w:r>
        <w:rPr>
          <w:i/>
          <w:iCs/>
        </w:rPr>
        <w:t xml:space="preserve">Performance Security </w:t>
      </w:r>
      <w:r>
        <w:rPr>
          <w:rStyle w:val="NoneA"/>
        </w:rPr>
        <w:t xml:space="preserve">or eﬀect an </w:t>
      </w:r>
      <w:r>
        <w:rPr>
          <w:i/>
          <w:iCs/>
        </w:rPr>
        <w:t xml:space="preserve">extension </w:t>
      </w:r>
      <w:r>
        <w:rPr>
          <w:rStyle w:val="NoneA"/>
        </w:rPr>
        <w:t xml:space="preserve">of the original </w:t>
      </w:r>
      <w:r>
        <w:rPr>
          <w:i/>
          <w:iCs/>
        </w:rPr>
        <w:t xml:space="preserve">Performance Security </w:t>
      </w:r>
      <w:r>
        <w:rPr>
          <w:rStyle w:val="NoneA"/>
        </w:rPr>
        <w:t>to cover the period of extension until Final Acceptance of the PROJECT.</w:t>
      </w:r>
    </w:p>
    <w:p w:rsidR="005148A4" w:rsidRDefault="00EB735E">
      <w:pPr>
        <w:pStyle w:val="Default"/>
        <w:widowControl w:val="0"/>
        <w:spacing w:before="120"/>
        <w:ind w:left="127" w:right="109" w:firstLine="720"/>
        <w:jc w:val="both"/>
        <w:rPr>
          <w:rFonts w:ascii="Spectral Regular" w:eastAsia="Spectral Regular" w:hAnsi="Spectral Regular" w:cs="Spectral Regular"/>
        </w:rPr>
      </w:pPr>
      <w:r>
        <w:rPr>
          <w:rFonts w:ascii="Spectral Regular" w:hAnsi="Spectral Regular"/>
        </w:rPr>
        <w:t xml:space="preserve">Section 8. The CONTRACTOR shall post the substitute </w:t>
      </w:r>
      <w:r>
        <w:rPr>
          <w:rFonts w:ascii="Spectral Regular" w:hAnsi="Spectral Regular"/>
          <w:i/>
          <w:iCs/>
        </w:rPr>
        <w:t xml:space="preserve">Performance Security </w:t>
      </w:r>
      <w:r>
        <w:rPr>
          <w:rFonts w:ascii="Spectral Regular" w:hAnsi="Spectral Regular"/>
        </w:rPr>
        <w:t>within ten (10) days upon receipt of the determination by the PROCURING ENTITY of the inability of the CONTRACTOR to complete the PROJECT.</w:t>
      </w:r>
    </w:p>
    <w:p w:rsidR="005148A4" w:rsidRDefault="00EB735E">
      <w:pPr>
        <w:pStyle w:val="Default"/>
        <w:widowControl w:val="0"/>
        <w:spacing w:before="0"/>
        <w:ind w:left="127" w:right="102" w:firstLine="720"/>
        <w:jc w:val="both"/>
        <w:rPr>
          <w:rFonts w:ascii="Spectral Regular" w:eastAsia="Spectral Regular" w:hAnsi="Spectral Regular" w:cs="Spectral Regular"/>
        </w:rPr>
      </w:pPr>
      <w:r>
        <w:rPr>
          <w:rFonts w:ascii="Spectral Regular" w:hAnsi="Spectral Regular"/>
        </w:rPr>
        <w:t>Section 9. Until and unless the CONTRACTOR shall have complied with the provisions of this Article, the PROCURING ENTITY shall withhold all payments due to the CONTRACTOR.</w:t>
      </w:r>
    </w:p>
    <w:p w:rsidR="005148A4" w:rsidRDefault="00EB735E">
      <w:pPr>
        <w:pStyle w:val="Subtitle"/>
      </w:pPr>
      <w:bookmarkStart w:id="9" w:name="_Toc9"/>
      <w:r>
        <w:rPr>
          <w:rStyle w:val="NoneA"/>
          <w:rFonts w:eastAsia="Arial Unicode MS" w:cs="Arial Unicode MS"/>
        </w:rPr>
        <w:t>ARTICLE 10 - Guarantee Bond</w:t>
      </w:r>
      <w:bookmarkEnd w:id="9"/>
    </w:p>
    <w:p w:rsidR="005148A4" w:rsidRDefault="00EB735E">
      <w:pPr>
        <w:pStyle w:val="BodyA"/>
      </w:pPr>
      <w:r>
        <w:rPr>
          <w:rStyle w:val="NoneA"/>
        </w:rPr>
        <w:t>Section 1. The CONTRACTOR shall furnish the PROCURING ENTITY with a Guarantee</w:t>
      </w:r>
      <w:r>
        <w:rPr>
          <w:spacing w:val="40"/>
        </w:rPr>
        <w:t xml:space="preserve"> </w:t>
      </w:r>
      <w:r>
        <w:rPr>
          <w:rStyle w:val="NoneA"/>
        </w:rPr>
        <w:t>Bond in an amount equal to ten percent (10%) of the Contract Price, eﬀective for</w:t>
      </w:r>
      <w:r>
        <w:rPr>
          <w:spacing w:val="-2"/>
        </w:rPr>
        <w:t xml:space="preserve"> </w:t>
      </w:r>
      <w:r>
        <w:rPr>
          <w:rStyle w:val="NoneA"/>
        </w:rPr>
        <w:t>a</w:t>
      </w:r>
      <w:r>
        <w:rPr>
          <w:spacing w:val="-2"/>
        </w:rPr>
        <w:t xml:space="preserve"> </w:t>
      </w:r>
      <w:r>
        <w:rPr>
          <w:rStyle w:val="NoneA"/>
        </w:rPr>
        <w:t>period</w:t>
      </w:r>
      <w:r>
        <w:rPr>
          <w:spacing w:val="-2"/>
        </w:rPr>
        <w:t xml:space="preserve"> </w:t>
      </w:r>
      <w:r>
        <w:rPr>
          <w:rStyle w:val="NoneA"/>
        </w:rPr>
        <w:t xml:space="preserve">of one (1) year reckoned from the date of issuance of the </w:t>
      </w:r>
      <w:r>
        <w:rPr>
          <w:i/>
          <w:iCs/>
        </w:rPr>
        <w:t>Certiﬁcate of Completion</w:t>
      </w:r>
      <w:r>
        <w:rPr>
          <w:rStyle w:val="NoneA"/>
        </w:rPr>
        <w:t>.</w:t>
      </w:r>
    </w:p>
    <w:p w:rsidR="005148A4" w:rsidRDefault="00EB735E">
      <w:pPr>
        <w:pStyle w:val="BodyA"/>
      </w:pPr>
      <w:r>
        <w:rPr>
          <w:rStyle w:val="NoneA"/>
        </w:rPr>
        <w:t>Section 2. The Guarantee Bond is to answer for any loss, damage, injury, or expense which the PROCURING ENTITY may incur to make good defects in workmanship or materials that may become evident within one (1) year from the</w:t>
      </w:r>
      <w:r>
        <w:rPr>
          <w:spacing w:val="40"/>
        </w:rPr>
        <w:t xml:space="preserve"> </w:t>
      </w:r>
      <w:r>
        <w:rPr>
          <w:rStyle w:val="NoneA"/>
        </w:rPr>
        <w:t xml:space="preserve">date of issuance of the </w:t>
      </w:r>
      <w:r>
        <w:rPr>
          <w:i/>
          <w:iCs/>
        </w:rPr>
        <w:t xml:space="preserve">Certiﬁcate of </w:t>
      </w:r>
      <w:r>
        <w:rPr>
          <w:i/>
          <w:iCs/>
          <w:spacing w:val="-2"/>
        </w:rPr>
        <w:t>Completion</w:t>
      </w:r>
      <w:r>
        <w:rPr>
          <w:spacing w:val="-2"/>
        </w:rPr>
        <w:t>.</w:t>
      </w:r>
    </w:p>
    <w:p w:rsidR="005148A4" w:rsidRDefault="00EB735E">
      <w:pPr>
        <w:pStyle w:val="Subtitle"/>
        <w:spacing w:before="220"/>
      </w:pPr>
      <w:bookmarkStart w:id="10" w:name="_Toc10"/>
      <w:r>
        <w:rPr>
          <w:rStyle w:val="NoneA"/>
        </w:rPr>
        <w:t>ARTICLE 11 - Liability Insurance</w:t>
      </w:r>
      <w:bookmarkEnd w:id="10"/>
    </w:p>
    <w:p w:rsidR="005148A4" w:rsidRDefault="00EB735E">
      <w:pPr>
        <w:pStyle w:val="BodyA"/>
      </w:pPr>
      <w:r>
        <w:rPr>
          <w:rStyle w:val="NoneA"/>
        </w:rPr>
        <w:t>Section 1. The</w:t>
      </w:r>
      <w:r>
        <w:rPr>
          <w:spacing w:val="40"/>
        </w:rPr>
        <w:t xml:space="preserve"> </w:t>
      </w:r>
      <w:r>
        <w:rPr>
          <w:rStyle w:val="NoneA"/>
        </w:rPr>
        <w:t>CONTRACTOR shall submit a Liability Insurance</w:t>
      </w:r>
      <w:r>
        <w:rPr>
          <w:spacing w:val="-3"/>
        </w:rPr>
        <w:t xml:space="preserve"> </w:t>
      </w:r>
      <w:r>
        <w:rPr>
          <w:rStyle w:val="NoneA"/>
        </w:rPr>
        <w:t>contract</w:t>
      </w:r>
      <w:r>
        <w:rPr>
          <w:spacing w:val="-3"/>
        </w:rPr>
        <w:t xml:space="preserve"> </w:t>
      </w:r>
      <w:r>
        <w:rPr>
          <w:rStyle w:val="NoneA"/>
        </w:rPr>
        <w:t>to</w:t>
      </w:r>
      <w:r>
        <w:rPr>
          <w:spacing w:val="-3"/>
        </w:rPr>
        <w:t xml:space="preserve"> </w:t>
      </w:r>
      <w:r>
        <w:rPr>
          <w:rStyle w:val="NoneA"/>
        </w:rPr>
        <w:t>protect the PROCURING ENTITY against</w:t>
      </w:r>
      <w:r>
        <w:rPr>
          <w:spacing w:val="40"/>
        </w:rPr>
        <w:t xml:space="preserve"> </w:t>
      </w:r>
      <w:r>
        <w:rPr>
          <w:rStyle w:val="NoneA"/>
        </w:rPr>
        <w:t>all claims of damages for personal injury or</w:t>
      </w:r>
      <w:r>
        <w:rPr>
          <w:spacing w:val="-3"/>
        </w:rPr>
        <w:t xml:space="preserve"> </w:t>
      </w:r>
      <w:r>
        <w:rPr>
          <w:rStyle w:val="NoneA"/>
        </w:rPr>
        <w:t>death,</w:t>
      </w:r>
      <w:r>
        <w:rPr>
          <w:spacing w:val="-3"/>
        </w:rPr>
        <w:t xml:space="preserve"> </w:t>
      </w:r>
      <w:r>
        <w:rPr>
          <w:rStyle w:val="NoneA"/>
        </w:rPr>
        <w:t>and</w:t>
      </w:r>
      <w:r>
        <w:rPr>
          <w:spacing w:val="-3"/>
        </w:rPr>
        <w:t xml:space="preserve"> </w:t>
      </w:r>
      <w:r>
        <w:rPr>
          <w:rStyle w:val="NoneA"/>
        </w:rPr>
        <w:t>claims</w:t>
      </w:r>
      <w:r>
        <w:rPr>
          <w:spacing w:val="-3"/>
        </w:rPr>
        <w:t xml:space="preserve"> </w:t>
      </w:r>
      <w:r>
        <w:rPr>
          <w:rStyle w:val="NoneA"/>
        </w:rPr>
        <w:t xml:space="preserve">for damages of the PROCURING ENTITY'S property and adjoining </w:t>
      </w:r>
      <w:r>
        <w:rPr>
          <w:rStyle w:val="NoneA"/>
        </w:rPr>
        <w:lastRenderedPageBreak/>
        <w:t>properties that may arise from operations pursuant to this Contract.</w:t>
      </w:r>
    </w:p>
    <w:p w:rsidR="005148A4" w:rsidRDefault="00EB735E">
      <w:pPr>
        <w:pStyle w:val="BodyA"/>
      </w:pPr>
      <w:r>
        <w:rPr>
          <w:rStyle w:val="NoneA"/>
        </w:rPr>
        <w:t>Section 2. The insurance company must be registered and in good standing with the Insurance Commission. The adequacy of protection</w:t>
      </w:r>
      <w:r>
        <w:rPr>
          <w:spacing w:val="-3"/>
        </w:rPr>
        <w:t xml:space="preserve"> </w:t>
      </w:r>
      <w:r>
        <w:rPr>
          <w:rStyle w:val="NoneA"/>
        </w:rPr>
        <w:t>and</w:t>
      </w:r>
      <w:r>
        <w:rPr>
          <w:spacing w:val="-3"/>
        </w:rPr>
        <w:t xml:space="preserve"> </w:t>
      </w:r>
      <w:r>
        <w:rPr>
          <w:rStyle w:val="NoneA"/>
        </w:rPr>
        <w:t>reliability</w:t>
      </w:r>
      <w:r>
        <w:rPr>
          <w:spacing w:val="-3"/>
        </w:rPr>
        <w:t xml:space="preserve"> </w:t>
      </w:r>
      <w:r>
        <w:rPr>
          <w:rStyle w:val="NoneA"/>
        </w:rPr>
        <w:t>of</w:t>
      </w:r>
      <w:r>
        <w:rPr>
          <w:spacing w:val="-3"/>
        </w:rPr>
        <w:t xml:space="preserve"> </w:t>
      </w:r>
      <w:r>
        <w:rPr>
          <w:rStyle w:val="NoneA"/>
        </w:rPr>
        <w:t>the</w:t>
      </w:r>
      <w:r>
        <w:rPr>
          <w:spacing w:val="-3"/>
        </w:rPr>
        <w:t xml:space="preserve"> </w:t>
      </w:r>
      <w:r>
        <w:rPr>
          <w:rStyle w:val="NoneA"/>
        </w:rPr>
        <w:t>insurance</w:t>
      </w:r>
      <w:r>
        <w:rPr>
          <w:spacing w:val="-3"/>
        </w:rPr>
        <w:t xml:space="preserve"> </w:t>
      </w:r>
      <w:r>
        <w:rPr>
          <w:rStyle w:val="NoneA"/>
        </w:rPr>
        <w:t>company shall</w:t>
      </w:r>
      <w:r>
        <w:rPr>
          <w:spacing w:val="42"/>
        </w:rPr>
        <w:t xml:space="preserve"> </w:t>
      </w:r>
      <w:r>
        <w:rPr>
          <w:rStyle w:val="NoneA"/>
        </w:rPr>
        <w:t>be</w:t>
      </w:r>
      <w:r>
        <w:rPr>
          <w:spacing w:val="42"/>
        </w:rPr>
        <w:t xml:space="preserve"> </w:t>
      </w:r>
      <w:r>
        <w:rPr>
          <w:rStyle w:val="NoneA"/>
        </w:rPr>
        <w:t>subject</w:t>
      </w:r>
      <w:r>
        <w:rPr>
          <w:spacing w:val="42"/>
        </w:rPr>
        <w:t xml:space="preserve"> </w:t>
      </w:r>
      <w:r>
        <w:rPr>
          <w:rStyle w:val="NoneA"/>
        </w:rPr>
        <w:t>to</w:t>
      </w:r>
      <w:r>
        <w:rPr>
          <w:spacing w:val="42"/>
        </w:rPr>
        <w:t xml:space="preserve"> </w:t>
      </w:r>
      <w:r>
        <w:rPr>
          <w:rStyle w:val="NoneA"/>
        </w:rPr>
        <w:t>the</w:t>
      </w:r>
      <w:r>
        <w:rPr>
          <w:spacing w:val="42"/>
        </w:rPr>
        <w:t xml:space="preserve"> </w:t>
      </w:r>
      <w:r>
        <w:rPr>
          <w:rStyle w:val="NoneA"/>
        </w:rPr>
        <w:t>approval</w:t>
      </w:r>
      <w:r>
        <w:rPr>
          <w:spacing w:val="42"/>
        </w:rPr>
        <w:t xml:space="preserve"> </w:t>
      </w:r>
      <w:r>
        <w:rPr>
          <w:rStyle w:val="NoneA"/>
        </w:rPr>
        <w:t>of</w:t>
      </w:r>
      <w:r>
        <w:rPr>
          <w:spacing w:val="28"/>
        </w:rPr>
        <w:t xml:space="preserve"> </w:t>
      </w:r>
      <w:r>
        <w:rPr>
          <w:rStyle w:val="NoneA"/>
        </w:rPr>
        <w:t>the</w:t>
      </w:r>
      <w:r>
        <w:rPr>
          <w:spacing w:val="28"/>
        </w:rPr>
        <w:t xml:space="preserve"> </w:t>
      </w:r>
      <w:r>
        <w:rPr>
          <w:rStyle w:val="NoneA"/>
        </w:rPr>
        <w:t>PROCURING ENTITY.</w:t>
      </w:r>
      <w:r>
        <w:rPr>
          <w:spacing w:val="28"/>
        </w:rPr>
        <w:t xml:space="preserve"> </w:t>
      </w:r>
      <w:r>
        <w:rPr>
          <w:rStyle w:val="NoneA"/>
        </w:rPr>
        <w:t>The</w:t>
      </w:r>
      <w:r>
        <w:rPr>
          <w:spacing w:val="28"/>
        </w:rPr>
        <w:t xml:space="preserve"> </w:t>
      </w:r>
      <w:r>
        <w:rPr>
          <w:rStyle w:val="NoneA"/>
        </w:rPr>
        <w:t>cost</w:t>
      </w:r>
      <w:r>
        <w:rPr>
          <w:spacing w:val="28"/>
        </w:rPr>
        <w:t xml:space="preserve"> </w:t>
      </w:r>
      <w:r>
        <w:rPr>
          <w:rStyle w:val="NoneA"/>
        </w:rPr>
        <w:t>of</w:t>
      </w:r>
      <w:r>
        <w:rPr>
          <w:spacing w:val="28"/>
        </w:rPr>
        <w:t xml:space="preserve"> </w:t>
      </w:r>
      <w:r>
        <w:rPr>
          <w:rStyle w:val="NoneA"/>
        </w:rPr>
        <w:t>such</w:t>
      </w:r>
      <w:r>
        <w:rPr>
          <w:spacing w:val="28"/>
        </w:rPr>
        <w:t xml:space="preserve"> </w:t>
      </w:r>
      <w:r>
        <w:rPr>
          <w:rStyle w:val="NoneA"/>
        </w:rPr>
        <w:t>insurance</w:t>
      </w:r>
      <w:r>
        <w:rPr>
          <w:spacing w:val="28"/>
        </w:rPr>
        <w:t xml:space="preserve"> </w:t>
      </w:r>
      <w:r>
        <w:rPr>
          <w:rStyle w:val="NoneA"/>
        </w:rPr>
        <w:t>shall</w:t>
      </w:r>
      <w:r>
        <w:rPr>
          <w:spacing w:val="28"/>
        </w:rPr>
        <w:t xml:space="preserve"> </w:t>
      </w:r>
      <w:r>
        <w:rPr>
          <w:spacing w:val="-5"/>
        </w:rPr>
        <w:t xml:space="preserve">be </w:t>
      </w:r>
      <w:r>
        <w:rPr>
          <w:rStyle w:val="NoneA"/>
        </w:rPr>
        <w:t>borne</w:t>
      </w:r>
      <w:r>
        <w:rPr>
          <w:spacing w:val="-4"/>
        </w:rPr>
        <w:t xml:space="preserve"> </w:t>
      </w:r>
      <w:r>
        <w:rPr>
          <w:rStyle w:val="NoneA"/>
        </w:rPr>
        <w:t>by</w:t>
      </w:r>
      <w:r>
        <w:rPr>
          <w:spacing w:val="-4"/>
        </w:rPr>
        <w:t xml:space="preserve"> </w:t>
      </w:r>
      <w:r>
        <w:rPr>
          <w:rStyle w:val="NoneA"/>
        </w:rPr>
        <w:t>the</w:t>
      </w:r>
      <w:r>
        <w:rPr>
          <w:spacing w:val="-4"/>
        </w:rPr>
        <w:t xml:space="preserve"> </w:t>
      </w:r>
      <w:r>
        <w:rPr>
          <w:rStyle w:val="NoneA"/>
        </w:rPr>
        <w:t>CONTRACTOR</w:t>
      </w:r>
      <w:r>
        <w:rPr>
          <w:spacing w:val="-4"/>
        </w:rPr>
        <w:t xml:space="preserve"> </w:t>
      </w:r>
      <w:r>
        <w:rPr>
          <w:rStyle w:val="NoneA"/>
        </w:rPr>
        <w:t>and</w:t>
      </w:r>
      <w:r>
        <w:rPr>
          <w:spacing w:val="-4"/>
        </w:rPr>
        <w:t xml:space="preserve"> </w:t>
      </w:r>
      <w:r>
        <w:rPr>
          <w:rStyle w:val="NoneA"/>
        </w:rPr>
        <w:t>the</w:t>
      </w:r>
      <w:r>
        <w:rPr>
          <w:spacing w:val="-4"/>
        </w:rPr>
        <w:t xml:space="preserve"> </w:t>
      </w:r>
      <w:r>
        <w:rPr>
          <w:rStyle w:val="NoneA"/>
        </w:rPr>
        <w:t>policy</w:t>
      </w:r>
      <w:r>
        <w:rPr>
          <w:spacing w:val="-4"/>
        </w:rPr>
        <w:t xml:space="preserve"> </w:t>
      </w:r>
      <w:r>
        <w:rPr>
          <w:rStyle w:val="NoneA"/>
        </w:rPr>
        <w:t>therefore</w:t>
      </w:r>
      <w:r>
        <w:rPr>
          <w:spacing w:val="-4"/>
        </w:rPr>
        <w:t xml:space="preserve"> </w:t>
      </w:r>
      <w:r>
        <w:rPr>
          <w:rStyle w:val="NoneA"/>
        </w:rPr>
        <w:t>shall</w:t>
      </w:r>
      <w:r>
        <w:rPr>
          <w:spacing w:val="-4"/>
        </w:rPr>
        <w:t xml:space="preserve"> </w:t>
      </w:r>
      <w:r>
        <w:rPr>
          <w:rStyle w:val="NoneA"/>
        </w:rPr>
        <w:t>be</w:t>
      </w:r>
      <w:r>
        <w:rPr>
          <w:spacing w:val="-4"/>
        </w:rPr>
        <w:t xml:space="preserve"> </w:t>
      </w:r>
      <w:r>
        <w:rPr>
          <w:rStyle w:val="NoneA"/>
        </w:rPr>
        <w:t>delivered</w:t>
      </w:r>
      <w:r>
        <w:rPr>
          <w:spacing w:val="-4"/>
        </w:rPr>
        <w:t xml:space="preserve"> </w:t>
      </w:r>
      <w:r>
        <w:rPr>
          <w:rStyle w:val="NoneA"/>
        </w:rPr>
        <w:t>to</w:t>
      </w:r>
      <w:r>
        <w:rPr>
          <w:spacing w:val="-4"/>
        </w:rPr>
        <w:t xml:space="preserve"> </w:t>
      </w:r>
      <w:r>
        <w:rPr>
          <w:rStyle w:val="NoneA"/>
        </w:rPr>
        <w:t>the</w:t>
      </w:r>
      <w:r>
        <w:rPr>
          <w:spacing w:val="-4"/>
        </w:rPr>
        <w:t xml:space="preserve"> </w:t>
      </w:r>
      <w:r>
        <w:rPr>
          <w:rStyle w:val="NoneA"/>
        </w:rPr>
        <w:t>PROCURING ENTITY as beneﬁciary.</w:t>
      </w:r>
    </w:p>
    <w:p w:rsidR="005148A4" w:rsidRDefault="00EB735E">
      <w:pPr>
        <w:pStyle w:val="Subtitle"/>
        <w:spacing w:before="220"/>
      </w:pPr>
      <w:bookmarkStart w:id="11" w:name="_Toc11"/>
      <w:r>
        <w:rPr>
          <w:rStyle w:val="NoneA"/>
        </w:rPr>
        <w:t>ARTICLE 12 - Warranties and Responsibilities of the Contractor</w:t>
      </w:r>
      <w:bookmarkEnd w:id="11"/>
    </w:p>
    <w:p w:rsidR="005148A4" w:rsidRDefault="00EB735E">
      <w:pPr>
        <w:pStyle w:val="BodyA"/>
      </w:pPr>
      <w:r>
        <w:rPr>
          <w:rStyle w:val="NoneA"/>
        </w:rPr>
        <w:t>Section 1. The CONTRACTOR shall secure all pertinent permits required by any government oﬃce or agency in connection with the PROJECT.</w:t>
      </w:r>
    </w:p>
    <w:p w:rsidR="005148A4" w:rsidRDefault="00EB735E">
      <w:pPr>
        <w:pStyle w:val="BodyA"/>
      </w:pPr>
      <w:r>
        <w:rPr>
          <w:rStyle w:val="NoneA"/>
        </w:rPr>
        <w:t>Section 2. The CONTRACTOR shall comply with all laws, rules, regulations, and issuances of the Republic of the Philippines, including those on labor, environment, safety, and sanitation, those regulating the construction industry, and other pertinent laws. The CONTRACTOR shall be solely liable for any violation of the same.</w:t>
      </w:r>
    </w:p>
    <w:p w:rsidR="005148A4" w:rsidRDefault="00EB735E">
      <w:pPr>
        <w:pStyle w:val="BodyA"/>
      </w:pPr>
      <w:r>
        <w:rPr>
          <w:rStyle w:val="NoneA"/>
        </w:rPr>
        <w:t>Section 3. Should the CONTRACTOR ﬁnd that any portion of this Contract or the Contract Documents is contrary to any law, rule, regulation, or issuance, the CONTRACTOR shall immediately notify the PROCURING ENTITY in writing and comply with the instructions to be given by the PROCURING ENTITY.</w:t>
      </w:r>
    </w:p>
    <w:p w:rsidR="005148A4" w:rsidRDefault="00EB735E">
      <w:pPr>
        <w:pStyle w:val="BodyA"/>
      </w:pPr>
      <w:r>
        <w:rPr>
          <w:rStyle w:val="NoneA"/>
        </w:rPr>
        <w:t>Section 4. The CONTRACTOR shall take all precautionary measures to ensure the safety and convenience of the workers and the general public, and to take all appropriate steps to prevent damage or injury to persons or property in or about or adjacent to the premises where the work is being performed.</w:t>
      </w:r>
    </w:p>
    <w:p w:rsidR="005148A4" w:rsidRDefault="00EB735E">
      <w:pPr>
        <w:pStyle w:val="BodyA"/>
      </w:pPr>
      <w:r>
        <w:rPr>
          <w:rStyle w:val="NoneA"/>
        </w:rPr>
        <w:t>Section 5. The CONTRACTOR warrants and guarantees that all materials to be used for the PROJECT are new, free from hidden defects, and fully comply in every respect with the speciﬁcations, approved samples, and other requirements of the Contract Documents.</w:t>
      </w:r>
    </w:p>
    <w:p w:rsidR="005148A4" w:rsidRDefault="00EB735E">
      <w:pPr>
        <w:pStyle w:val="BodyA"/>
      </w:pPr>
      <w:r>
        <w:rPr>
          <w:rStyle w:val="NoneA"/>
        </w:rPr>
        <w:t>Section 6. The CONTRACTOR shall make no substitution of materials required to be furnished by it unless prior written approval is obtained from the PROCURING ENTITY. The CONTRACTOR hereby holds the University free and harmless from any liability arising out of claims or liens on materials supplied.</w:t>
      </w:r>
    </w:p>
    <w:p w:rsidR="005148A4" w:rsidRDefault="00EB735E">
      <w:pPr>
        <w:pStyle w:val="BodyA"/>
      </w:pPr>
      <w:r>
        <w:rPr>
          <w:rStyle w:val="NoneA"/>
        </w:rPr>
        <w:t xml:space="preserve">Section 7. In case of any substitution with inferior materials without the prior written consent of </w:t>
      </w:r>
      <w:proofErr w:type="gramStart"/>
      <w:r>
        <w:rPr>
          <w:rStyle w:val="NoneA"/>
        </w:rPr>
        <w:t>the  PROCURING</w:t>
      </w:r>
      <w:proofErr w:type="gramEnd"/>
      <w:r>
        <w:rPr>
          <w:rStyle w:val="NoneA"/>
        </w:rPr>
        <w:t xml:space="preserve"> ENTITY  and the same cannot be removed and replaced, the CONTRACTOR shall credit the PROCURING ENTITY an amount equivalent to the diﬀerence in cost plus one hundred percent (100%) of the credit amount as liquidated damages.</w:t>
      </w:r>
    </w:p>
    <w:p w:rsidR="005148A4" w:rsidRDefault="00EB735E">
      <w:pPr>
        <w:pStyle w:val="BodyA"/>
      </w:pPr>
      <w:r>
        <w:rPr>
          <w:rStyle w:val="NoneA"/>
        </w:rPr>
        <w:t>Section 8. The CONTRACTOR warrants that the works done under this Contract, including those performed by sub-contractors, if any, shall be free from any defect, shrinkage, or other faults due to defective or improper materials, planning, or workmanship.</w:t>
      </w:r>
    </w:p>
    <w:p w:rsidR="005148A4" w:rsidRDefault="00EB735E">
      <w:pPr>
        <w:pStyle w:val="BodyA"/>
      </w:pPr>
      <w:r>
        <w:rPr>
          <w:rStyle w:val="NoneA"/>
        </w:rPr>
        <w:lastRenderedPageBreak/>
        <w:t>Section 9. If any such defect, shrinkage, or fault, whether pertaining to that portion of the work performed by the CONTRACTOR or to a portion performed by any sub-contractor arise, the CONTRACTOR shall, at its own expense, promptly repair, correct, or make good such defect, shrinkage, or fault to the satisfaction of the PROCURING ENTITY.</w:t>
      </w:r>
    </w:p>
    <w:p w:rsidR="005148A4" w:rsidRDefault="00EB735E">
      <w:pPr>
        <w:pStyle w:val="BodyA"/>
      </w:pPr>
      <w:r>
        <w:rPr>
          <w:rStyle w:val="NoneA"/>
        </w:rPr>
        <w:t>Section 10. In case of deviations, defects, shrinkages, faults, or deﬁciencies in the work are not remedied to the satisfaction of the PROCURING ENTITY within the time allotted by the PROCURING ENTITY for these to be remedied, the PROCURING ENTITY shall, without prejudice to any other right or remedy, cause the repair or correction to be made for the account of the CONTRACTOR for immediate payment within three (3) days from the date of the CONTRACTOR’s receipt of the Notice for Payment or for immediate deduction from any current amount due from the PROCURING ENTITY, or if no such amount is due, and no immediate payment is made by the CONTRACTOR within three (3) days from the date of its receipt of the Notice for Payment, the amount of the repair or correction shall earn a penalty interest of 1.5% per month, compounded monthly until fully paid reckoned from the date of receipt of the Notice of Payment.</w:t>
      </w:r>
    </w:p>
    <w:p w:rsidR="005148A4" w:rsidRDefault="00EB735E">
      <w:pPr>
        <w:pStyle w:val="BodyA"/>
      </w:pPr>
      <w:r>
        <w:rPr>
          <w:rStyle w:val="NoneA"/>
        </w:rPr>
        <w:t>Section 11. The CONTRACTOR shall be responsible for any loss, injury, or damage arising or resulting from any such deviation or defect, shrinkage, or fault. Violation of the warranties under this section shall be a ground for the PROCURING ENTITY to pre-terminate this Contract by written notice to the CONTRACTOR eﬀective upon receipt thereof.</w:t>
      </w:r>
    </w:p>
    <w:p w:rsidR="005148A4" w:rsidRDefault="00EB735E">
      <w:pPr>
        <w:pStyle w:val="BodyA"/>
      </w:pPr>
      <w:r>
        <w:rPr>
          <w:rStyle w:val="NoneA"/>
        </w:rPr>
        <w:t>Section 12. The CONTRACTOR shall be responsible for the storage and safekeeping of all PROCURING ENTITY-supplied materials, if any, fully turned over to its custody by the PROCURING ENTITY. The CONTRACTOR shall leave the work in good order upon completion.</w:t>
      </w:r>
    </w:p>
    <w:p w:rsidR="005148A4" w:rsidRDefault="00EB735E">
      <w:pPr>
        <w:pStyle w:val="Subtitle"/>
      </w:pPr>
      <w:bookmarkStart w:id="12" w:name="_Toc12"/>
      <w:r>
        <w:rPr>
          <w:rStyle w:val="NoneA"/>
          <w:rFonts w:eastAsia="Arial Unicode MS" w:cs="Arial Unicode MS"/>
        </w:rPr>
        <w:t xml:space="preserve">ARTICLE 13 - Indemnities </w:t>
      </w:r>
      <w:bookmarkEnd w:id="12"/>
    </w:p>
    <w:p w:rsidR="005148A4" w:rsidRDefault="00EB735E">
      <w:pPr>
        <w:pStyle w:val="BodyA"/>
      </w:pPr>
      <w:r>
        <w:rPr>
          <w:rStyle w:val="NoneA"/>
        </w:rPr>
        <w:t xml:space="preserve">Section 1. Torts and willful acts causing death, injuries or damage to property. The CONTRACTOR assumes full responsibility for the negligent or willful acts and omissions of its employees, workers, agents, subcontractors, representatives as well as guests which it allows to enter the premises of the PROJECT and </w:t>
      </w:r>
      <w:proofErr w:type="spellStart"/>
      <w:r>
        <w:rPr>
          <w:rStyle w:val="NoneA"/>
        </w:rPr>
        <w:t>fo</w:t>
      </w:r>
      <w:proofErr w:type="spellEnd"/>
      <w:r>
        <w:rPr>
          <w:rStyle w:val="NoneA"/>
        </w:rPr>
        <w:t xml:space="preserve"> UP Manila.</w:t>
      </w:r>
    </w:p>
    <w:p w:rsidR="005148A4" w:rsidRDefault="00EB735E">
      <w:pPr>
        <w:pStyle w:val="BodyA"/>
      </w:pPr>
      <w:r>
        <w:rPr>
          <w:rStyle w:val="NoneA"/>
        </w:rPr>
        <w:t xml:space="preserve">Section 2. </w:t>
      </w:r>
      <w:r>
        <w:rPr>
          <w:i/>
          <w:iCs/>
        </w:rPr>
        <w:t>Free and harmless clause</w:t>
      </w:r>
      <w:r>
        <w:rPr>
          <w:rStyle w:val="NoneA"/>
        </w:rPr>
        <w:t>. The CONTRACTOR shall hold the PROCURING ENTITY free and harmless from,</w:t>
      </w:r>
      <w:r>
        <w:rPr>
          <w:spacing w:val="-4"/>
        </w:rPr>
        <w:t xml:space="preserve"> </w:t>
      </w:r>
      <w:r>
        <w:rPr>
          <w:rStyle w:val="NoneA"/>
        </w:rPr>
        <w:t>and</w:t>
      </w:r>
      <w:r>
        <w:rPr>
          <w:spacing w:val="-4"/>
        </w:rPr>
        <w:t xml:space="preserve"> </w:t>
      </w:r>
      <w:r>
        <w:rPr>
          <w:rStyle w:val="NoneA"/>
        </w:rPr>
        <w:t>hereby</w:t>
      </w:r>
      <w:r>
        <w:rPr>
          <w:spacing w:val="-4"/>
        </w:rPr>
        <w:t xml:space="preserve"> </w:t>
      </w:r>
      <w:r>
        <w:rPr>
          <w:rStyle w:val="NoneA"/>
        </w:rPr>
        <w:t>binds</w:t>
      </w:r>
      <w:r>
        <w:rPr>
          <w:spacing w:val="-4"/>
        </w:rPr>
        <w:t xml:space="preserve"> </w:t>
      </w:r>
      <w:r>
        <w:rPr>
          <w:rStyle w:val="NoneA"/>
        </w:rPr>
        <w:t>and</w:t>
      </w:r>
      <w:r>
        <w:rPr>
          <w:spacing w:val="-4"/>
        </w:rPr>
        <w:t xml:space="preserve"> </w:t>
      </w:r>
      <w:r>
        <w:rPr>
          <w:rStyle w:val="NoneA"/>
        </w:rPr>
        <w:t>obligates</w:t>
      </w:r>
      <w:r>
        <w:rPr>
          <w:spacing w:val="-4"/>
        </w:rPr>
        <w:t xml:space="preserve"> </w:t>
      </w:r>
      <w:r>
        <w:rPr>
          <w:rStyle w:val="NoneA"/>
        </w:rPr>
        <w:t>itself</w:t>
      </w:r>
      <w:r>
        <w:rPr>
          <w:spacing w:val="-4"/>
        </w:rPr>
        <w:t xml:space="preserve"> </w:t>
      </w:r>
      <w:r>
        <w:rPr>
          <w:rStyle w:val="NoneA"/>
        </w:rPr>
        <w:t>to</w:t>
      </w:r>
      <w:r>
        <w:rPr>
          <w:spacing w:val="-4"/>
        </w:rPr>
        <w:t xml:space="preserve"> </w:t>
      </w:r>
      <w:r>
        <w:rPr>
          <w:rStyle w:val="NoneA"/>
        </w:rPr>
        <w:t>indemnify</w:t>
      </w:r>
      <w:r>
        <w:rPr>
          <w:spacing w:val="-4"/>
        </w:rPr>
        <w:t xml:space="preserve"> </w:t>
      </w:r>
      <w:r>
        <w:rPr>
          <w:rStyle w:val="NoneA"/>
        </w:rPr>
        <w:t>the</w:t>
      </w:r>
      <w:r>
        <w:rPr>
          <w:spacing w:val="-4"/>
        </w:rPr>
        <w:t xml:space="preserve"> </w:t>
      </w:r>
      <w:r>
        <w:rPr>
          <w:rStyle w:val="NoneA"/>
        </w:rPr>
        <w:t>PROCURING ENTITY for death, injuries and damages ﬁled by its own workers, employees, representatives, subcontractors, agents, representatives and third parties against the PROCURING ENTITY for negligent or willful acts and omissions committed under the circumstances</w:t>
      </w:r>
      <w:r>
        <w:rPr>
          <w:spacing w:val="-4"/>
        </w:rPr>
        <w:t xml:space="preserve"> </w:t>
      </w:r>
      <w:r>
        <w:rPr>
          <w:rStyle w:val="NoneA"/>
        </w:rPr>
        <w:t>stated</w:t>
      </w:r>
      <w:r>
        <w:rPr>
          <w:spacing w:val="-4"/>
        </w:rPr>
        <w:t xml:space="preserve"> </w:t>
      </w:r>
      <w:r>
        <w:rPr>
          <w:rStyle w:val="NoneA"/>
        </w:rPr>
        <w:t>in</w:t>
      </w:r>
      <w:r>
        <w:rPr>
          <w:spacing w:val="-4"/>
        </w:rPr>
        <w:t xml:space="preserve"> </w:t>
      </w:r>
      <w:r>
        <w:rPr>
          <w:rStyle w:val="NoneA"/>
        </w:rPr>
        <w:t>section 1 of this Article or because of the</w:t>
      </w:r>
      <w:r>
        <w:rPr>
          <w:spacing w:val="-3"/>
        </w:rPr>
        <w:t xml:space="preserve"> </w:t>
      </w:r>
      <w:r>
        <w:rPr>
          <w:rStyle w:val="NoneA"/>
        </w:rPr>
        <w:t>violation</w:t>
      </w:r>
      <w:r>
        <w:rPr>
          <w:spacing w:val="-3"/>
        </w:rPr>
        <w:t xml:space="preserve"> </w:t>
      </w:r>
      <w:r>
        <w:rPr>
          <w:rStyle w:val="NoneA"/>
        </w:rPr>
        <w:t>of</w:t>
      </w:r>
      <w:r>
        <w:rPr>
          <w:spacing w:val="-3"/>
        </w:rPr>
        <w:t xml:space="preserve"> </w:t>
      </w:r>
      <w:r>
        <w:rPr>
          <w:rStyle w:val="NoneA"/>
        </w:rPr>
        <w:t>the</w:t>
      </w:r>
      <w:r>
        <w:rPr>
          <w:spacing w:val="-3"/>
        </w:rPr>
        <w:t xml:space="preserve"> </w:t>
      </w:r>
      <w:r>
        <w:rPr>
          <w:rStyle w:val="NoneA"/>
        </w:rPr>
        <w:t>CONTRACTOR</w:t>
      </w:r>
      <w:r>
        <w:rPr>
          <w:spacing w:val="-3"/>
        </w:rPr>
        <w:t xml:space="preserve"> </w:t>
      </w:r>
      <w:r>
        <w:rPr>
          <w:rStyle w:val="NoneA"/>
        </w:rPr>
        <w:t>of</w:t>
      </w:r>
      <w:r>
        <w:rPr>
          <w:spacing w:val="-3"/>
        </w:rPr>
        <w:t xml:space="preserve"> </w:t>
      </w:r>
      <w:r>
        <w:rPr>
          <w:rStyle w:val="NoneA"/>
        </w:rPr>
        <w:t>any</w:t>
      </w:r>
      <w:r>
        <w:rPr>
          <w:spacing w:val="-3"/>
        </w:rPr>
        <w:t xml:space="preserve"> </w:t>
      </w:r>
      <w:r>
        <w:rPr>
          <w:rStyle w:val="NoneA"/>
        </w:rPr>
        <w:t>of</w:t>
      </w:r>
      <w:r>
        <w:rPr>
          <w:spacing w:val="-3"/>
        </w:rPr>
        <w:t xml:space="preserve"> </w:t>
      </w:r>
      <w:r>
        <w:rPr>
          <w:rStyle w:val="NoneA"/>
        </w:rPr>
        <w:t>the</w:t>
      </w:r>
      <w:r>
        <w:rPr>
          <w:spacing w:val="-3"/>
        </w:rPr>
        <w:t xml:space="preserve"> </w:t>
      </w:r>
      <w:r>
        <w:rPr>
          <w:rStyle w:val="NoneA"/>
        </w:rPr>
        <w:t>provisions</w:t>
      </w:r>
      <w:r>
        <w:rPr>
          <w:spacing w:val="-3"/>
        </w:rPr>
        <w:t xml:space="preserve"> </w:t>
      </w:r>
      <w:r>
        <w:rPr>
          <w:rStyle w:val="NoneA"/>
        </w:rPr>
        <w:t>of this Contract.</w:t>
      </w:r>
    </w:p>
    <w:p w:rsidR="005148A4" w:rsidRDefault="00EB735E">
      <w:pPr>
        <w:pStyle w:val="Subtitle"/>
      </w:pPr>
      <w:bookmarkStart w:id="13" w:name="_Toc13"/>
      <w:r>
        <w:rPr>
          <w:rStyle w:val="NoneA"/>
          <w:rFonts w:eastAsia="Arial Unicode MS" w:cs="Arial Unicode MS"/>
        </w:rPr>
        <w:lastRenderedPageBreak/>
        <w:t>ARTICLE 15 - Monitoring Performance</w:t>
      </w:r>
      <w:bookmarkEnd w:id="13"/>
    </w:p>
    <w:p w:rsidR="005148A4" w:rsidRDefault="00EB735E">
      <w:pPr>
        <w:pStyle w:val="Default"/>
        <w:widowControl w:val="0"/>
        <w:spacing w:before="0"/>
        <w:ind w:left="127" w:firstLine="720"/>
        <w:rPr>
          <w:rFonts w:ascii="Spectral Regular" w:eastAsia="Spectral Regular" w:hAnsi="Spectral Regular" w:cs="Spectral Regular"/>
        </w:rPr>
      </w:pPr>
      <w:r>
        <w:rPr>
          <w:rFonts w:ascii="Spectral Regular" w:hAnsi="Spectral Regular"/>
        </w:rPr>
        <w:t>Section 1. The Campus Planning Development and Maintenance Oﬃce of the PROCURING ENTITY shall:</w:t>
      </w:r>
    </w:p>
    <w:p w:rsidR="005148A4" w:rsidRDefault="00EB735E">
      <w:pPr>
        <w:pStyle w:val="Default"/>
        <w:widowControl w:val="0"/>
        <w:numPr>
          <w:ilvl w:val="1"/>
          <w:numId w:val="16"/>
        </w:numPr>
        <w:spacing w:before="0"/>
        <w:ind w:right="104"/>
        <w:jc w:val="both"/>
        <w:rPr>
          <w:rFonts w:ascii="Spectral Regular" w:hAnsi="Spectral Regular"/>
        </w:rPr>
      </w:pPr>
      <w:r>
        <w:rPr>
          <w:rFonts w:ascii="Spectral Regular" w:hAnsi="Spectral Regular"/>
        </w:rPr>
        <w:t>Supervise all phases of the construction works covered under this Contract. This provision shall not relieve the CONTRACTOR of its duties and responsibilities under this Contract.</w:t>
      </w:r>
    </w:p>
    <w:p w:rsidR="005148A4" w:rsidRDefault="00EB735E">
      <w:pPr>
        <w:pStyle w:val="Default"/>
        <w:widowControl w:val="0"/>
        <w:numPr>
          <w:ilvl w:val="1"/>
          <w:numId w:val="16"/>
        </w:numPr>
        <w:spacing w:before="0"/>
        <w:ind w:right="105"/>
        <w:jc w:val="both"/>
        <w:rPr>
          <w:rFonts w:ascii="Spectral Regular" w:hAnsi="Spectral Regular"/>
        </w:rPr>
      </w:pPr>
      <w:r>
        <w:rPr>
          <w:rFonts w:ascii="Spectral Regular" w:hAnsi="Spectral Regular"/>
        </w:rPr>
        <w:t>Conduct regular inspection of the ongoing construction works, and its premises, including the inspection of the materials and supplies being used for construction.</w:t>
      </w:r>
    </w:p>
    <w:p w:rsidR="005148A4" w:rsidRDefault="00EB735E">
      <w:pPr>
        <w:pStyle w:val="Default"/>
        <w:widowControl w:val="0"/>
        <w:numPr>
          <w:ilvl w:val="1"/>
          <w:numId w:val="16"/>
        </w:numPr>
        <w:spacing w:before="0"/>
        <w:ind w:right="115"/>
        <w:jc w:val="both"/>
        <w:rPr>
          <w:rFonts w:ascii="Spectral Regular" w:hAnsi="Spectral Regular"/>
        </w:rPr>
      </w:pPr>
      <w:r>
        <w:rPr>
          <w:rFonts w:ascii="Spectral Regular" w:hAnsi="Spectral Regular"/>
        </w:rPr>
        <w:t>Recommend to the PROCURING ENTITY or its proper authorities, any work changes, suspension, or stoppage of the works.</w:t>
      </w:r>
    </w:p>
    <w:p w:rsidR="005148A4" w:rsidRDefault="00EB735E">
      <w:pPr>
        <w:pStyle w:val="Default"/>
        <w:widowControl w:val="0"/>
        <w:numPr>
          <w:ilvl w:val="1"/>
          <w:numId w:val="18"/>
        </w:numPr>
        <w:spacing w:before="0"/>
        <w:rPr>
          <w:rFonts w:ascii="Spectral Regular" w:hAnsi="Spectral Regular"/>
        </w:rPr>
      </w:pPr>
      <w:r>
        <w:rPr>
          <w:rFonts w:ascii="Spectral Regular" w:hAnsi="Spectral Regular"/>
        </w:rPr>
        <w:t>Certify the percentage of completion of the construction works.</w:t>
      </w:r>
    </w:p>
    <w:p w:rsidR="005148A4" w:rsidRDefault="00EB735E">
      <w:pPr>
        <w:pStyle w:val="Default"/>
        <w:widowControl w:val="0"/>
        <w:numPr>
          <w:ilvl w:val="1"/>
          <w:numId w:val="16"/>
        </w:numPr>
        <w:spacing w:before="0"/>
        <w:ind w:right="109"/>
        <w:jc w:val="both"/>
        <w:rPr>
          <w:rFonts w:ascii="Spectral Regular" w:hAnsi="Spectral Regular"/>
        </w:rPr>
      </w:pPr>
      <w:r>
        <w:rPr>
          <w:rFonts w:ascii="Spectral Regular" w:hAnsi="Spectral Regular"/>
        </w:rPr>
        <w:t>Advise and recommend changes in the Contract Price under circumstances mentioned under this Contract and existing laws, rules, regulations and issuances.</w:t>
      </w:r>
    </w:p>
    <w:p w:rsidR="005148A4" w:rsidRDefault="00EB735E">
      <w:pPr>
        <w:pStyle w:val="Default"/>
        <w:widowControl w:val="0"/>
        <w:spacing w:before="0"/>
        <w:ind w:left="1207" w:right="102" w:hanging="360"/>
        <w:jc w:val="both"/>
        <w:rPr>
          <w:rFonts w:ascii="Spectral Regular" w:eastAsia="Spectral Regular" w:hAnsi="Spectral Regular" w:cs="Spectral Regular"/>
        </w:rPr>
      </w:pPr>
      <w:r>
        <w:rPr>
          <w:rFonts w:ascii="Spectral Regular" w:hAnsi="Spectral Regular"/>
        </w:rPr>
        <w:t>e. Such other work or services in relation to the PROJECT as may be required by the PROCURING ENTITY or existing laws, rules, regulations and issuances of the Republic of the Philippines.</w:t>
      </w:r>
    </w:p>
    <w:p w:rsidR="005148A4" w:rsidRDefault="00EB735E">
      <w:pPr>
        <w:pStyle w:val="Subtitle"/>
        <w:spacing w:before="180"/>
      </w:pPr>
      <w:bookmarkStart w:id="14" w:name="_Toc14"/>
      <w:r>
        <w:rPr>
          <w:rStyle w:val="NoneA"/>
        </w:rPr>
        <w:t>ARTICLE 16 - Completion and Final Acceptance</w:t>
      </w:r>
      <w:bookmarkEnd w:id="14"/>
    </w:p>
    <w:p w:rsidR="005148A4" w:rsidRDefault="00EB735E">
      <w:pPr>
        <w:pStyle w:val="BodyA"/>
      </w:pPr>
      <w:r>
        <w:rPr>
          <w:rStyle w:val="NoneA"/>
        </w:rPr>
        <w:t xml:space="preserve">Section 1. The PROCURING ENTITY shall issue to the CONTRACTOR a </w:t>
      </w:r>
      <w:r>
        <w:rPr>
          <w:i/>
          <w:iCs/>
        </w:rPr>
        <w:t xml:space="preserve">Certiﬁcate of Completion </w:t>
      </w:r>
      <w:r>
        <w:rPr>
          <w:rStyle w:val="NoneA"/>
        </w:rPr>
        <w:t>upon satisfactory completion of the PROJECT.</w:t>
      </w:r>
    </w:p>
    <w:p w:rsidR="005148A4" w:rsidRDefault="00EB735E">
      <w:pPr>
        <w:pStyle w:val="BodyA"/>
      </w:pPr>
      <w:r>
        <w:rPr>
          <w:rStyle w:val="NoneA"/>
        </w:rPr>
        <w:t>Section 2. The</w:t>
      </w:r>
      <w:r>
        <w:rPr>
          <w:spacing w:val="-3"/>
        </w:rPr>
        <w:t xml:space="preserve"> </w:t>
      </w:r>
      <w:r>
        <w:rPr>
          <w:rStyle w:val="NoneA"/>
        </w:rPr>
        <w:t>defects</w:t>
      </w:r>
      <w:r>
        <w:rPr>
          <w:spacing w:val="-3"/>
        </w:rPr>
        <w:t xml:space="preserve"> </w:t>
      </w:r>
      <w:r>
        <w:rPr>
          <w:rStyle w:val="NoneA"/>
        </w:rPr>
        <w:t>liability</w:t>
      </w:r>
      <w:r>
        <w:rPr>
          <w:spacing w:val="-3"/>
        </w:rPr>
        <w:t xml:space="preserve"> </w:t>
      </w:r>
      <w:r>
        <w:rPr>
          <w:rStyle w:val="NoneA"/>
        </w:rPr>
        <w:t>period</w:t>
      </w:r>
      <w:r>
        <w:rPr>
          <w:spacing w:val="-3"/>
        </w:rPr>
        <w:t xml:space="preserve"> </w:t>
      </w:r>
      <w:r>
        <w:rPr>
          <w:rStyle w:val="NoneA"/>
        </w:rPr>
        <w:t>for</w:t>
      </w:r>
      <w:r>
        <w:rPr>
          <w:spacing w:val="-3"/>
        </w:rPr>
        <w:t xml:space="preserve"> </w:t>
      </w:r>
      <w:r>
        <w:rPr>
          <w:rStyle w:val="NoneA"/>
        </w:rPr>
        <w:t>this</w:t>
      </w:r>
      <w:r>
        <w:rPr>
          <w:spacing w:val="-3"/>
        </w:rPr>
        <w:t xml:space="preserve"> </w:t>
      </w:r>
      <w:r>
        <w:rPr>
          <w:rStyle w:val="NoneA"/>
        </w:rPr>
        <w:t>PROJECT</w:t>
      </w:r>
      <w:r>
        <w:rPr>
          <w:spacing w:val="-3"/>
        </w:rPr>
        <w:t xml:space="preserve"> </w:t>
      </w:r>
      <w:r>
        <w:rPr>
          <w:rStyle w:val="NoneA"/>
        </w:rPr>
        <w:t>shall</w:t>
      </w:r>
      <w:r>
        <w:rPr>
          <w:spacing w:val="-3"/>
        </w:rPr>
        <w:t xml:space="preserve"> </w:t>
      </w:r>
      <w:r>
        <w:rPr>
          <w:rStyle w:val="NoneA"/>
        </w:rPr>
        <w:t>be</w:t>
      </w:r>
      <w:r>
        <w:rPr>
          <w:spacing w:val="-3"/>
        </w:rPr>
        <w:t xml:space="preserve"> </w:t>
      </w:r>
      <w:r>
        <w:rPr>
          <w:rStyle w:val="NoneA"/>
        </w:rPr>
        <w:t>one</w:t>
      </w:r>
      <w:r>
        <w:rPr>
          <w:spacing w:val="-3"/>
        </w:rPr>
        <w:t xml:space="preserve"> </w:t>
      </w:r>
      <w:r>
        <w:rPr>
          <w:rStyle w:val="NoneA"/>
        </w:rPr>
        <w:t>year</w:t>
      </w:r>
      <w:r>
        <w:rPr>
          <w:spacing w:val="-3"/>
        </w:rPr>
        <w:t xml:space="preserve"> </w:t>
      </w:r>
      <w:r>
        <w:rPr>
          <w:rStyle w:val="NoneA"/>
        </w:rPr>
        <w:t>from</w:t>
      </w:r>
      <w:r>
        <w:rPr>
          <w:spacing w:val="-3"/>
        </w:rPr>
        <w:t xml:space="preserve"> </w:t>
      </w:r>
      <w:r>
        <w:rPr>
          <w:rStyle w:val="NoneA"/>
        </w:rPr>
        <w:t>PROJECT completion up to ﬁnal acceptance by the PROCURING ENTITY. During this period, the CONTRACTOR shall undertake the repair works, at his own expense, of any damage to the infrastructure projects on</w:t>
      </w:r>
      <w:r>
        <w:rPr>
          <w:spacing w:val="-3"/>
        </w:rPr>
        <w:t xml:space="preserve"> </w:t>
      </w:r>
      <w:r>
        <w:rPr>
          <w:rStyle w:val="NoneA"/>
        </w:rPr>
        <w:t>account</w:t>
      </w:r>
      <w:r>
        <w:rPr>
          <w:spacing w:val="-3"/>
        </w:rPr>
        <w:t xml:space="preserve"> </w:t>
      </w:r>
      <w:r>
        <w:rPr>
          <w:rStyle w:val="NoneA"/>
        </w:rPr>
        <w:t>of</w:t>
      </w:r>
      <w:r>
        <w:rPr>
          <w:spacing w:val="-3"/>
        </w:rPr>
        <w:t xml:space="preserve"> </w:t>
      </w:r>
      <w:r>
        <w:rPr>
          <w:rStyle w:val="NoneA"/>
        </w:rPr>
        <w:t>the</w:t>
      </w:r>
      <w:r>
        <w:rPr>
          <w:spacing w:val="-3"/>
        </w:rPr>
        <w:t xml:space="preserve"> </w:t>
      </w:r>
      <w:r>
        <w:rPr>
          <w:rStyle w:val="NoneA"/>
        </w:rPr>
        <w:t>use</w:t>
      </w:r>
      <w:r>
        <w:rPr>
          <w:spacing w:val="-3"/>
        </w:rPr>
        <w:t xml:space="preserve"> </w:t>
      </w:r>
      <w:r>
        <w:rPr>
          <w:rStyle w:val="NoneA"/>
        </w:rPr>
        <w:t>of</w:t>
      </w:r>
      <w:r>
        <w:rPr>
          <w:spacing w:val="-3"/>
        </w:rPr>
        <w:t xml:space="preserve"> </w:t>
      </w:r>
      <w:r>
        <w:rPr>
          <w:rStyle w:val="NoneA"/>
        </w:rPr>
        <w:t>materials</w:t>
      </w:r>
      <w:r>
        <w:rPr>
          <w:spacing w:val="-3"/>
        </w:rPr>
        <w:t xml:space="preserve"> </w:t>
      </w:r>
      <w:r>
        <w:rPr>
          <w:rStyle w:val="NoneA"/>
        </w:rPr>
        <w:t>of</w:t>
      </w:r>
      <w:r>
        <w:rPr>
          <w:spacing w:val="-3"/>
        </w:rPr>
        <w:t xml:space="preserve"> </w:t>
      </w:r>
      <w:r>
        <w:rPr>
          <w:rStyle w:val="NoneA"/>
        </w:rPr>
        <w:t>inferior</w:t>
      </w:r>
      <w:r>
        <w:rPr>
          <w:spacing w:val="-3"/>
        </w:rPr>
        <w:t xml:space="preserve"> </w:t>
      </w:r>
      <w:r>
        <w:rPr>
          <w:rStyle w:val="NoneA"/>
        </w:rPr>
        <w:t>quality</w:t>
      </w:r>
      <w:r>
        <w:rPr>
          <w:spacing w:val="-3"/>
        </w:rPr>
        <w:t xml:space="preserve"> </w:t>
      </w:r>
      <w:r>
        <w:rPr>
          <w:rStyle w:val="NoneA"/>
        </w:rPr>
        <w:t>within</w:t>
      </w:r>
      <w:r>
        <w:rPr>
          <w:spacing w:val="-3"/>
        </w:rPr>
        <w:t xml:space="preserve"> </w:t>
      </w:r>
      <w:r>
        <w:rPr>
          <w:rStyle w:val="NoneA"/>
        </w:rPr>
        <w:t>ninety</w:t>
      </w:r>
      <w:r>
        <w:rPr>
          <w:spacing w:val="-3"/>
        </w:rPr>
        <w:t xml:space="preserve"> </w:t>
      </w:r>
      <w:r>
        <w:rPr>
          <w:rStyle w:val="NoneA"/>
        </w:rPr>
        <w:t>(90) days from the time the head of the procuring entity has issued an order to undertake</w:t>
      </w:r>
      <w:r>
        <w:rPr>
          <w:spacing w:val="-3"/>
        </w:rPr>
        <w:t xml:space="preserve"> </w:t>
      </w:r>
      <w:r>
        <w:rPr>
          <w:rStyle w:val="NoneA"/>
        </w:rPr>
        <w:t xml:space="preserve">repair. In case of failure or refusal to comply with this mandate, the PROCURING ENTITY shall undertake such repair works and the </w:t>
      </w:r>
      <w:r>
        <w:rPr>
          <w:i/>
          <w:iCs/>
        </w:rPr>
        <w:t xml:space="preserve">Guarantee Bond </w:t>
      </w:r>
      <w:r>
        <w:rPr>
          <w:rStyle w:val="NoneA"/>
        </w:rPr>
        <w:t>shall be forfeited in favor of the PROCURING ENTITY.</w:t>
      </w:r>
      <w:r>
        <w:rPr>
          <w:spacing w:val="-4"/>
        </w:rPr>
        <w:t xml:space="preserve"> </w:t>
      </w:r>
      <w:r>
        <w:rPr>
          <w:rStyle w:val="NoneA"/>
        </w:rPr>
        <w:t xml:space="preserve">If the </w:t>
      </w:r>
      <w:r>
        <w:rPr>
          <w:i/>
          <w:iCs/>
        </w:rPr>
        <w:t xml:space="preserve">Guarantee Bond </w:t>
      </w:r>
      <w:r>
        <w:rPr>
          <w:rStyle w:val="NoneA"/>
        </w:rPr>
        <w:t>is insuﬃcient to cover the cost of repairs, the diﬀerence</w:t>
      </w:r>
      <w:r>
        <w:rPr>
          <w:spacing w:val="-3"/>
        </w:rPr>
        <w:t xml:space="preserve"> </w:t>
      </w:r>
      <w:r>
        <w:rPr>
          <w:rStyle w:val="NoneA"/>
        </w:rPr>
        <w:t>shall</w:t>
      </w:r>
      <w:r>
        <w:rPr>
          <w:spacing w:val="-3"/>
        </w:rPr>
        <w:t xml:space="preserve"> </w:t>
      </w:r>
      <w:r>
        <w:rPr>
          <w:rStyle w:val="NoneA"/>
        </w:rPr>
        <w:t>be</w:t>
      </w:r>
      <w:r>
        <w:rPr>
          <w:spacing w:val="-3"/>
        </w:rPr>
        <w:t xml:space="preserve"> </w:t>
      </w:r>
      <w:r>
        <w:rPr>
          <w:rStyle w:val="NoneA"/>
        </w:rPr>
        <w:t>paid</w:t>
      </w:r>
      <w:r>
        <w:rPr>
          <w:spacing w:val="-3"/>
        </w:rPr>
        <w:t xml:space="preserve"> </w:t>
      </w:r>
      <w:r>
        <w:rPr>
          <w:rStyle w:val="NoneA"/>
        </w:rPr>
        <w:t>by the</w:t>
      </w:r>
      <w:r>
        <w:rPr>
          <w:spacing w:val="26"/>
        </w:rPr>
        <w:t xml:space="preserve"> </w:t>
      </w:r>
      <w:r>
        <w:rPr>
          <w:rStyle w:val="NoneA"/>
        </w:rPr>
        <w:t>CONTRACTOR</w:t>
      </w:r>
      <w:r>
        <w:rPr>
          <w:spacing w:val="26"/>
        </w:rPr>
        <w:t xml:space="preserve"> </w:t>
      </w:r>
      <w:r>
        <w:rPr>
          <w:rStyle w:val="NoneA"/>
        </w:rPr>
        <w:t>to the PROCURING ENTITY within ten (10) days from its receipt of the Notice to Pay with a penalty interest of 1.5% per month, compounded monthly reckoned from the date of its receipt of the Notice to Pay, until full payment.</w:t>
      </w:r>
    </w:p>
    <w:p w:rsidR="005148A4" w:rsidRDefault="00EB735E">
      <w:pPr>
        <w:pStyle w:val="BodyA"/>
      </w:pPr>
      <w:r>
        <w:rPr>
          <w:rStyle w:val="NoneA"/>
        </w:rPr>
        <w:t xml:space="preserve">Section 3. Before issuance of the </w:t>
      </w:r>
      <w:r>
        <w:rPr>
          <w:i/>
          <w:iCs/>
        </w:rPr>
        <w:t>Certiﬁcate of Completion</w:t>
      </w:r>
      <w:r>
        <w:rPr>
          <w:rStyle w:val="NoneA"/>
        </w:rPr>
        <w:t>, the CONTRACTOR must submit a sworn statement that all materials, bills, wages for labor employed, payroll, and other indebtedness and obligations for the PROJECT as well as taxes and fees due from it have been fully and duly paid. Any claim submitted to the PROCURING ENTITY at any time by any party arising from this Contract shall be suﬃcient reason for the PROCURING ENTITY to withhold any payment due to the CONTRACTOR.</w:t>
      </w:r>
    </w:p>
    <w:p w:rsidR="005148A4" w:rsidRDefault="00EB735E">
      <w:pPr>
        <w:pStyle w:val="BodyA"/>
      </w:pPr>
      <w:r>
        <w:rPr>
          <w:rStyle w:val="NoneA"/>
        </w:rPr>
        <w:lastRenderedPageBreak/>
        <w:t xml:space="preserve">Section 4. The issuance of a </w:t>
      </w:r>
      <w:r>
        <w:rPr>
          <w:i/>
          <w:iCs/>
        </w:rPr>
        <w:t xml:space="preserve">Certiﬁcate of Final Acceptance </w:t>
      </w:r>
      <w:r>
        <w:rPr>
          <w:rStyle w:val="NoneA"/>
        </w:rPr>
        <w:t>by the PROCURING ENTITY shall not relieve</w:t>
      </w:r>
      <w:r>
        <w:rPr>
          <w:spacing w:val="-4"/>
        </w:rPr>
        <w:t xml:space="preserve"> </w:t>
      </w:r>
      <w:r>
        <w:rPr>
          <w:rStyle w:val="NoneA"/>
        </w:rPr>
        <w:t>the</w:t>
      </w:r>
      <w:r>
        <w:rPr>
          <w:spacing w:val="-4"/>
        </w:rPr>
        <w:t xml:space="preserve"> </w:t>
      </w:r>
      <w:r>
        <w:rPr>
          <w:rStyle w:val="NoneA"/>
        </w:rPr>
        <w:t>CONTRACTOR</w:t>
      </w:r>
      <w:r>
        <w:rPr>
          <w:spacing w:val="-4"/>
        </w:rPr>
        <w:t xml:space="preserve"> </w:t>
      </w:r>
      <w:r>
        <w:rPr>
          <w:rStyle w:val="NoneA"/>
        </w:rPr>
        <w:t>of</w:t>
      </w:r>
      <w:r>
        <w:rPr>
          <w:spacing w:val="-4"/>
        </w:rPr>
        <w:t xml:space="preserve"> </w:t>
      </w:r>
      <w:r>
        <w:rPr>
          <w:rStyle w:val="NoneA"/>
        </w:rPr>
        <w:t>any</w:t>
      </w:r>
      <w:r>
        <w:rPr>
          <w:spacing w:val="-4"/>
        </w:rPr>
        <w:t xml:space="preserve"> </w:t>
      </w:r>
      <w:r>
        <w:rPr>
          <w:rStyle w:val="NoneA"/>
        </w:rPr>
        <w:t>liability</w:t>
      </w:r>
      <w:r>
        <w:rPr>
          <w:spacing w:val="-4"/>
        </w:rPr>
        <w:t xml:space="preserve"> </w:t>
      </w:r>
      <w:r>
        <w:rPr>
          <w:rStyle w:val="NoneA"/>
        </w:rPr>
        <w:t>for</w:t>
      </w:r>
      <w:r>
        <w:rPr>
          <w:spacing w:val="-4"/>
        </w:rPr>
        <w:t xml:space="preserve"> </w:t>
      </w:r>
      <w:r>
        <w:rPr>
          <w:rStyle w:val="NoneA"/>
        </w:rPr>
        <w:t>any</w:t>
      </w:r>
      <w:r>
        <w:rPr>
          <w:spacing w:val="-4"/>
        </w:rPr>
        <w:t xml:space="preserve"> </w:t>
      </w:r>
      <w:r>
        <w:rPr>
          <w:rStyle w:val="NoneA"/>
        </w:rPr>
        <w:t>defect</w:t>
      </w:r>
      <w:r>
        <w:rPr>
          <w:spacing w:val="-4"/>
        </w:rPr>
        <w:t xml:space="preserve"> </w:t>
      </w:r>
      <w:r>
        <w:rPr>
          <w:rStyle w:val="NoneA"/>
        </w:rPr>
        <w:t>in</w:t>
      </w:r>
      <w:r>
        <w:rPr>
          <w:spacing w:val="-4"/>
        </w:rPr>
        <w:t xml:space="preserve"> </w:t>
      </w:r>
      <w:r>
        <w:rPr>
          <w:rStyle w:val="NoneA"/>
        </w:rPr>
        <w:t>the</w:t>
      </w:r>
      <w:r>
        <w:rPr>
          <w:spacing w:val="-4"/>
        </w:rPr>
        <w:t xml:space="preserve"> </w:t>
      </w:r>
      <w:r>
        <w:rPr>
          <w:rStyle w:val="NoneA"/>
        </w:rPr>
        <w:t>work</w:t>
      </w:r>
      <w:r>
        <w:rPr>
          <w:spacing w:val="-4"/>
        </w:rPr>
        <w:t xml:space="preserve"> </w:t>
      </w:r>
      <w:r>
        <w:rPr>
          <w:rStyle w:val="NoneA"/>
        </w:rPr>
        <w:t>or</w:t>
      </w:r>
      <w:r>
        <w:rPr>
          <w:spacing w:val="-4"/>
        </w:rPr>
        <w:t xml:space="preserve"> </w:t>
      </w:r>
      <w:r>
        <w:rPr>
          <w:rStyle w:val="NoneA"/>
        </w:rPr>
        <w:t>from</w:t>
      </w:r>
      <w:r>
        <w:rPr>
          <w:spacing w:val="-4"/>
        </w:rPr>
        <w:t xml:space="preserve"> </w:t>
      </w:r>
      <w:r>
        <w:rPr>
          <w:rStyle w:val="NoneA"/>
        </w:rPr>
        <w:t>Article</w:t>
      </w:r>
      <w:r>
        <w:rPr>
          <w:spacing w:val="-4"/>
        </w:rPr>
        <w:t xml:space="preserve"> </w:t>
      </w:r>
      <w:r>
        <w:rPr>
          <w:rStyle w:val="NoneA"/>
        </w:rPr>
        <w:t>1723 of the New Civil Code.</w:t>
      </w:r>
    </w:p>
    <w:p w:rsidR="005148A4" w:rsidRDefault="00EB735E">
      <w:pPr>
        <w:pStyle w:val="BodyA"/>
      </w:pPr>
      <w:r>
        <w:rPr>
          <w:rStyle w:val="NoneA"/>
        </w:rPr>
        <w:t>Section 5. No payments made by the PROCURING ENTITY shall be construed as a waiver of any claim for defects in the work, materials, or breach of obligations under this Contract.</w:t>
      </w:r>
    </w:p>
    <w:p w:rsidR="005148A4" w:rsidRDefault="00EB735E">
      <w:pPr>
        <w:pStyle w:val="Subtitle"/>
      </w:pPr>
      <w:bookmarkStart w:id="15" w:name="_Toc15"/>
      <w:r>
        <w:rPr>
          <w:rStyle w:val="NoneA"/>
          <w:rFonts w:eastAsia="Arial Unicode MS" w:cs="Arial Unicode MS"/>
        </w:rPr>
        <w:t>ARTICLE 17 - Assignment and Sub-contracting</w:t>
      </w:r>
      <w:bookmarkEnd w:id="15"/>
    </w:p>
    <w:p w:rsidR="005148A4" w:rsidRDefault="00EB735E">
      <w:pPr>
        <w:pStyle w:val="BodyA"/>
      </w:pPr>
      <w:r>
        <w:rPr>
          <w:rStyle w:val="NoneA"/>
        </w:rPr>
        <w:t>Section 1. The CONTRACTOR cannot assign, transfer, pledge, sub-contract, or otherwise dispose of this Contract or any part or interest herein without the</w:t>
      </w:r>
      <w:r>
        <w:rPr>
          <w:spacing w:val="-3"/>
        </w:rPr>
        <w:t xml:space="preserve"> </w:t>
      </w:r>
      <w:r>
        <w:rPr>
          <w:rStyle w:val="NoneA"/>
        </w:rPr>
        <w:t>prior</w:t>
      </w:r>
      <w:r>
        <w:rPr>
          <w:spacing w:val="-3"/>
        </w:rPr>
        <w:t xml:space="preserve"> </w:t>
      </w:r>
      <w:r>
        <w:rPr>
          <w:rStyle w:val="NoneA"/>
        </w:rPr>
        <w:t>written approval of the PROCURING ENTITY.</w:t>
      </w:r>
    </w:p>
    <w:p w:rsidR="005148A4" w:rsidRDefault="00EB735E">
      <w:pPr>
        <w:pStyle w:val="BodyA"/>
      </w:pPr>
      <w:r>
        <w:rPr>
          <w:rStyle w:val="NoneA"/>
        </w:rPr>
        <w:t>Section</w:t>
      </w:r>
      <w:r>
        <w:rPr>
          <w:spacing w:val="-4"/>
        </w:rPr>
        <w:t xml:space="preserve"> </w:t>
      </w:r>
      <w:r>
        <w:rPr>
          <w:rStyle w:val="NoneA"/>
        </w:rPr>
        <w:t>2.</w:t>
      </w:r>
      <w:r>
        <w:rPr>
          <w:spacing w:val="-4"/>
        </w:rPr>
        <w:t xml:space="preserve"> </w:t>
      </w:r>
      <w:r>
        <w:rPr>
          <w:rStyle w:val="NoneA"/>
        </w:rPr>
        <w:t>Any</w:t>
      </w:r>
      <w:r>
        <w:rPr>
          <w:spacing w:val="-4"/>
        </w:rPr>
        <w:t xml:space="preserve"> </w:t>
      </w:r>
      <w:r>
        <w:rPr>
          <w:rStyle w:val="NoneA"/>
        </w:rPr>
        <w:t>such</w:t>
      </w:r>
      <w:r>
        <w:rPr>
          <w:spacing w:val="-4"/>
        </w:rPr>
        <w:t xml:space="preserve"> </w:t>
      </w:r>
      <w:r>
        <w:rPr>
          <w:rStyle w:val="NoneA"/>
        </w:rPr>
        <w:t>approval</w:t>
      </w:r>
      <w:r>
        <w:rPr>
          <w:spacing w:val="-4"/>
        </w:rPr>
        <w:t xml:space="preserve"> </w:t>
      </w:r>
      <w:r>
        <w:rPr>
          <w:rStyle w:val="NoneA"/>
        </w:rPr>
        <w:t>shall</w:t>
      </w:r>
      <w:r>
        <w:rPr>
          <w:spacing w:val="-4"/>
        </w:rPr>
        <w:t xml:space="preserve"> </w:t>
      </w:r>
      <w:r>
        <w:rPr>
          <w:rStyle w:val="NoneA"/>
        </w:rPr>
        <w:t>not</w:t>
      </w:r>
      <w:r>
        <w:rPr>
          <w:spacing w:val="-4"/>
        </w:rPr>
        <w:t xml:space="preserve"> </w:t>
      </w:r>
      <w:r>
        <w:rPr>
          <w:rStyle w:val="NoneA"/>
        </w:rPr>
        <w:t>relieve</w:t>
      </w:r>
      <w:r>
        <w:rPr>
          <w:spacing w:val="-4"/>
        </w:rPr>
        <w:t xml:space="preserve"> </w:t>
      </w:r>
      <w:r>
        <w:rPr>
          <w:rStyle w:val="NoneA"/>
        </w:rPr>
        <w:t>the</w:t>
      </w:r>
      <w:r>
        <w:rPr>
          <w:spacing w:val="-4"/>
        </w:rPr>
        <w:t xml:space="preserve"> </w:t>
      </w:r>
      <w:r>
        <w:rPr>
          <w:rStyle w:val="NoneA"/>
        </w:rPr>
        <w:t>CONTRACTOR</w:t>
      </w:r>
      <w:r>
        <w:rPr>
          <w:spacing w:val="-4"/>
        </w:rPr>
        <w:t xml:space="preserve"> </w:t>
      </w:r>
      <w:r>
        <w:rPr>
          <w:rStyle w:val="NoneA"/>
        </w:rPr>
        <w:t>from</w:t>
      </w:r>
      <w:r>
        <w:rPr>
          <w:spacing w:val="-4"/>
        </w:rPr>
        <w:t xml:space="preserve"> </w:t>
      </w:r>
      <w:r>
        <w:rPr>
          <w:rStyle w:val="NoneA"/>
        </w:rPr>
        <w:t>any</w:t>
      </w:r>
      <w:r>
        <w:rPr>
          <w:spacing w:val="-4"/>
        </w:rPr>
        <w:t xml:space="preserve"> </w:t>
      </w:r>
      <w:r>
        <w:rPr>
          <w:rStyle w:val="NoneA"/>
        </w:rPr>
        <w:t>liability</w:t>
      </w:r>
      <w:r>
        <w:rPr>
          <w:spacing w:val="-4"/>
        </w:rPr>
        <w:t xml:space="preserve"> </w:t>
      </w:r>
      <w:r>
        <w:rPr>
          <w:rStyle w:val="NoneA"/>
        </w:rPr>
        <w:t>or obligation under law or this Contract, nor shall it create any contractual relation between the sub-contractor, pledgee, transferee, or assignee, and the PROCURING ENTITY.</w:t>
      </w:r>
    </w:p>
    <w:p w:rsidR="005148A4" w:rsidRDefault="00EB735E">
      <w:pPr>
        <w:pStyle w:val="BodyA"/>
      </w:pPr>
      <w:r>
        <w:rPr>
          <w:rStyle w:val="NoneA"/>
        </w:rPr>
        <w:t>Section 3. In case subcontracting is agreed upon in writing by the parties, the CONTRACTOR shall submit, before Final Acceptance, a sworn statement executed by the subcontractor attesting to the fact that the latter has been fully paid by the</w:t>
      </w:r>
      <w:r>
        <w:rPr>
          <w:spacing w:val="-3"/>
        </w:rPr>
        <w:t xml:space="preserve"> </w:t>
      </w:r>
      <w:r>
        <w:rPr>
          <w:rStyle w:val="NoneA"/>
        </w:rPr>
        <w:t>CONTRACTOR for the materials furnished and the labor performed under the subcontract.</w:t>
      </w:r>
    </w:p>
    <w:p w:rsidR="005148A4" w:rsidRDefault="00EB735E">
      <w:pPr>
        <w:pStyle w:val="BodyA"/>
      </w:pPr>
      <w:r>
        <w:rPr>
          <w:rStyle w:val="NoneA"/>
        </w:rPr>
        <w:t>Section. In case subcontracting had been agreed upon in writing by the parties, the CONTRACTOR shall incorporate or cause to be incorporated in any contract or Contract with the subcontractor or third parties a provision of its assignability</w:t>
      </w:r>
      <w:r>
        <w:rPr>
          <w:spacing w:val="-3"/>
        </w:rPr>
        <w:t xml:space="preserve"> </w:t>
      </w:r>
      <w:r>
        <w:rPr>
          <w:rStyle w:val="NoneA"/>
        </w:rPr>
        <w:t>to</w:t>
      </w:r>
      <w:r>
        <w:rPr>
          <w:spacing w:val="-3"/>
        </w:rPr>
        <w:t xml:space="preserve"> </w:t>
      </w:r>
      <w:r>
        <w:rPr>
          <w:rStyle w:val="NoneA"/>
        </w:rPr>
        <w:t>and</w:t>
      </w:r>
      <w:r>
        <w:rPr>
          <w:spacing w:val="-3"/>
        </w:rPr>
        <w:t xml:space="preserve"> </w:t>
      </w:r>
      <w:r>
        <w:rPr>
          <w:rStyle w:val="NoneA"/>
        </w:rPr>
        <w:t>the</w:t>
      </w:r>
      <w:r>
        <w:rPr>
          <w:spacing w:val="-3"/>
        </w:rPr>
        <w:t xml:space="preserve"> </w:t>
      </w:r>
      <w:r>
        <w:rPr>
          <w:rStyle w:val="NoneA"/>
        </w:rPr>
        <w:t>assumption by the PROCURING ENTITY at the option of the PROCURING ENTITY.</w:t>
      </w:r>
    </w:p>
    <w:p w:rsidR="005148A4" w:rsidRDefault="00EB735E">
      <w:pPr>
        <w:pStyle w:val="Subtitle"/>
      </w:pPr>
      <w:bookmarkStart w:id="16" w:name="_Toc16"/>
      <w:r>
        <w:rPr>
          <w:rStyle w:val="NoneA"/>
          <w:rFonts w:eastAsia="Arial Unicode MS" w:cs="Arial Unicode MS"/>
        </w:rPr>
        <w:t>ARTICLE 18 - No Employer-Employee Relationship</w:t>
      </w:r>
      <w:bookmarkEnd w:id="16"/>
    </w:p>
    <w:p w:rsidR="005148A4" w:rsidRDefault="00EB735E">
      <w:pPr>
        <w:pStyle w:val="Default"/>
        <w:widowControl w:val="0"/>
        <w:spacing w:before="0" w:after="100"/>
        <w:ind w:left="127" w:right="105" w:firstLine="720"/>
        <w:jc w:val="both"/>
        <w:rPr>
          <w:rFonts w:ascii="Spectral Regular" w:eastAsia="Spectral Regular" w:hAnsi="Spectral Regular" w:cs="Spectral Regular"/>
        </w:rPr>
      </w:pPr>
      <w:r>
        <w:rPr>
          <w:rFonts w:ascii="Spectral Regular" w:hAnsi="Spectral Regular"/>
        </w:rPr>
        <w:t>Section 1. The relationship of the PROCURING ENTITY to the CONTRACTOR is that of an independent contractor.</w:t>
      </w:r>
    </w:p>
    <w:p w:rsidR="005148A4" w:rsidRDefault="00EB735E">
      <w:pPr>
        <w:pStyle w:val="Default"/>
        <w:widowControl w:val="0"/>
        <w:spacing w:before="0"/>
        <w:ind w:left="127" w:right="103" w:firstLine="720"/>
        <w:jc w:val="both"/>
        <w:rPr>
          <w:rFonts w:ascii="Spectral Regular" w:eastAsia="Spectral Regular" w:hAnsi="Spectral Regular" w:cs="Spectral Regular"/>
        </w:rPr>
      </w:pPr>
      <w:r>
        <w:rPr>
          <w:rFonts w:ascii="Spectral Regular" w:hAnsi="Spectral Regular"/>
        </w:rPr>
        <w:t>Section 2. Nothing in this Contract shall be construed as creating an employer-employee relationship between the PROCURING ENTITY and the CONTRACTOR, its sub-contractors, employees, agents, or workers.</w:t>
      </w:r>
    </w:p>
    <w:p w:rsidR="005148A4" w:rsidRDefault="00EB735E">
      <w:pPr>
        <w:pStyle w:val="Subtitle"/>
      </w:pPr>
      <w:bookmarkStart w:id="17" w:name="_Toc17"/>
      <w:r>
        <w:rPr>
          <w:rStyle w:val="NoneA"/>
          <w:rFonts w:eastAsia="Arial Unicode MS" w:cs="Arial Unicode MS"/>
        </w:rPr>
        <w:t>ARTICLE 19 - Termination</w:t>
      </w:r>
      <w:bookmarkEnd w:id="17"/>
    </w:p>
    <w:p w:rsidR="005148A4" w:rsidRDefault="00EB735E">
      <w:pPr>
        <w:pStyle w:val="Default"/>
        <w:widowControl w:val="0"/>
        <w:spacing w:before="0" w:after="120"/>
        <w:rPr>
          <w:rFonts w:ascii="Spectral Regular" w:eastAsia="Spectral Regular" w:hAnsi="Spectral Regular" w:cs="Spectral Regular"/>
        </w:rPr>
      </w:pPr>
      <w:r>
        <w:rPr>
          <w:rFonts w:ascii="Spectral Regular" w:eastAsia="Spectral Regular" w:hAnsi="Spectral Regular" w:cs="Spectral Regular"/>
        </w:rPr>
        <w:tab/>
        <w:t>Section 1. The</w:t>
      </w:r>
      <w:r>
        <w:rPr>
          <w:rFonts w:ascii="Spectral Regular" w:hAnsi="Spectral Regular"/>
        </w:rPr>
        <w:t xml:space="preserve"> PROCURING ENTITY may terminate this Contract on the following grounds:</w:t>
      </w:r>
    </w:p>
    <w:p w:rsidR="005148A4" w:rsidRDefault="00EB735E">
      <w:pPr>
        <w:pStyle w:val="Default"/>
        <w:widowControl w:val="0"/>
        <w:numPr>
          <w:ilvl w:val="0"/>
          <w:numId w:val="20"/>
        </w:numPr>
        <w:spacing w:before="0" w:after="120"/>
        <w:rPr>
          <w:rFonts w:ascii="Spectral Regular" w:hAnsi="Spectral Regular"/>
        </w:rPr>
      </w:pPr>
      <w:r>
        <w:rPr>
          <w:rFonts w:ascii="Spectral Regular" w:hAnsi="Spectral Regular"/>
        </w:rPr>
        <w:t xml:space="preserve">Due to the CONTRACTOR’S fault and </w:t>
      </w:r>
      <w:r>
        <w:rPr>
          <w:rFonts w:ascii="Spectral Regular" w:hAnsi="Spectral Regular"/>
          <w:i/>
          <w:iCs/>
        </w:rPr>
        <w:t>while the project is ongoing</w:t>
      </w:r>
      <w:r>
        <w:rPr>
          <w:rFonts w:ascii="Spectral Regular" w:hAnsi="Spectral Regular"/>
        </w:rPr>
        <w:t>, it has incurred a negative slippage of ﬁfteen percent (15%) or more in accordance with Presidential Decree 1870.</w:t>
      </w:r>
    </w:p>
    <w:p w:rsidR="005148A4" w:rsidRDefault="00EB735E">
      <w:pPr>
        <w:pStyle w:val="Default"/>
        <w:widowControl w:val="0"/>
        <w:numPr>
          <w:ilvl w:val="0"/>
          <w:numId w:val="20"/>
        </w:numPr>
        <w:spacing w:before="0" w:after="120"/>
        <w:rPr>
          <w:rFonts w:ascii="Spectral Regular" w:hAnsi="Spectral Regular"/>
        </w:rPr>
      </w:pPr>
      <w:r>
        <w:rPr>
          <w:rFonts w:ascii="Spectral Regular" w:hAnsi="Spectral Regular"/>
        </w:rPr>
        <w:t xml:space="preserve">Due to the CONTRACTOR’s fault and </w:t>
      </w:r>
      <w:r>
        <w:rPr>
          <w:rFonts w:ascii="Spectral Regular" w:hAnsi="Spectral Regular"/>
          <w:i/>
          <w:iCs/>
        </w:rPr>
        <w:t>after the contract time has expired</w:t>
      </w:r>
      <w:r>
        <w:rPr>
          <w:rFonts w:ascii="Spectral Regular" w:hAnsi="Spectral Regular"/>
        </w:rPr>
        <w:t xml:space="preserve">, it </w:t>
      </w:r>
      <w:r>
        <w:rPr>
          <w:rFonts w:ascii="Spectral Regular" w:hAnsi="Spectral Regular"/>
        </w:rPr>
        <w:lastRenderedPageBreak/>
        <w:t>has incurred a negative slippage of ten percent (10%) or more in the completion of the work.</w:t>
      </w:r>
    </w:p>
    <w:p w:rsidR="005148A4" w:rsidRDefault="00EB735E">
      <w:pPr>
        <w:pStyle w:val="Default"/>
        <w:widowControl w:val="0"/>
        <w:numPr>
          <w:ilvl w:val="0"/>
          <w:numId w:val="20"/>
        </w:numPr>
        <w:spacing w:before="0" w:after="120"/>
        <w:jc w:val="both"/>
        <w:rPr>
          <w:rFonts w:ascii="Spectral Regular" w:hAnsi="Spectral Regular"/>
        </w:rPr>
      </w:pPr>
      <w:r>
        <w:rPr>
          <w:rFonts w:ascii="Spectral Regular" w:hAnsi="Spectral Regular"/>
        </w:rPr>
        <w:t>The CONTRACTOR abandons the contract works for more than thirty (30) days or refuses or fails to comply with a valid instruction of the PROCURING ENTITY within the set date from receipt of a Notice of Compliance; or fails to proceed expeditiously and without delay despite for a cumulative period of thirty (30) days.</w:t>
      </w:r>
    </w:p>
    <w:p w:rsidR="005148A4" w:rsidRDefault="00EB735E">
      <w:pPr>
        <w:pStyle w:val="Default"/>
        <w:widowControl w:val="0"/>
        <w:numPr>
          <w:ilvl w:val="0"/>
          <w:numId w:val="20"/>
        </w:numPr>
        <w:spacing w:before="0" w:after="120"/>
        <w:jc w:val="both"/>
        <w:rPr>
          <w:rFonts w:ascii="Spectral Regular" w:hAnsi="Spectral Regular"/>
        </w:rPr>
      </w:pPr>
      <w:r>
        <w:rPr>
          <w:rFonts w:ascii="Spectral Regular" w:hAnsi="Spectral Regular"/>
        </w:rPr>
        <w:t>The CONTRACTOR does not actually have on the PROJECT site the minimum essential equipment listed on the bid necessary to prosecute the Works in accordance with the approved work plan and equipment deployment schedule as required for the PROJECT.</w:t>
      </w:r>
    </w:p>
    <w:p w:rsidR="005148A4" w:rsidRDefault="00EB735E">
      <w:pPr>
        <w:pStyle w:val="Default"/>
        <w:widowControl w:val="0"/>
        <w:numPr>
          <w:ilvl w:val="0"/>
          <w:numId w:val="20"/>
        </w:numPr>
        <w:spacing w:before="0" w:after="120"/>
        <w:jc w:val="both"/>
        <w:rPr>
          <w:rFonts w:ascii="Spectral Regular" w:hAnsi="Spectral Regular"/>
        </w:rPr>
      </w:pPr>
      <w:r>
        <w:rPr>
          <w:rFonts w:ascii="Spectral Regular" w:hAnsi="Spectral Regular"/>
        </w:rPr>
        <w:t>The CONTRACTOR does not execute the works in accordance with this Contract and the Contract Documents; or neglects to carry out its obligations under the Contract.</w:t>
      </w:r>
    </w:p>
    <w:p w:rsidR="005148A4" w:rsidRDefault="00EB735E">
      <w:pPr>
        <w:pStyle w:val="Default"/>
        <w:widowControl w:val="0"/>
        <w:numPr>
          <w:ilvl w:val="0"/>
          <w:numId w:val="20"/>
        </w:numPr>
        <w:spacing w:before="0" w:after="120"/>
        <w:jc w:val="both"/>
        <w:rPr>
          <w:rFonts w:ascii="Spectral Regular" w:hAnsi="Spectral Regular"/>
        </w:rPr>
      </w:pPr>
      <w:r>
        <w:rPr>
          <w:rFonts w:ascii="Spectral Regular" w:hAnsi="Spectral Regular"/>
        </w:rPr>
        <w:t>The CONTRACTOR neglects or refuses to remove materials that may be a hazard or to correct or revise works that have been rejected as defective or unsuitable by the PROCURING ENTITY.</w:t>
      </w:r>
    </w:p>
    <w:p w:rsidR="005148A4" w:rsidRDefault="00EB735E">
      <w:pPr>
        <w:pStyle w:val="Default"/>
        <w:widowControl w:val="0"/>
        <w:numPr>
          <w:ilvl w:val="0"/>
          <w:numId w:val="20"/>
        </w:numPr>
        <w:spacing w:before="0" w:after="120"/>
        <w:jc w:val="both"/>
        <w:rPr>
          <w:rFonts w:ascii="Spectral Regular" w:hAnsi="Spectral Regular"/>
        </w:rPr>
      </w:pPr>
      <w:r>
        <w:rPr>
          <w:rFonts w:ascii="Spectral Regular" w:hAnsi="Spectral Regular"/>
        </w:rPr>
        <w:t>The CONTRACTOR sub-contracts any part of the contract works without written approval by the PROCURING ENTITY.</w:t>
      </w:r>
    </w:p>
    <w:p w:rsidR="005148A4" w:rsidRDefault="00EB735E">
      <w:pPr>
        <w:pStyle w:val="Default"/>
        <w:widowControl w:val="0"/>
        <w:numPr>
          <w:ilvl w:val="0"/>
          <w:numId w:val="20"/>
        </w:numPr>
        <w:spacing w:before="0" w:after="120"/>
        <w:jc w:val="both"/>
        <w:rPr>
          <w:rFonts w:ascii="Spectral Regular" w:hAnsi="Spectral Regular"/>
        </w:rPr>
      </w:pPr>
      <w:r>
        <w:rPr>
          <w:rFonts w:ascii="Spectral Regular" w:hAnsi="Spectral Regular"/>
        </w:rPr>
        <w:t xml:space="preserve">The CONTRACTOR refuse to resume the works or was unable to comply with its obligation under this Contract for a period of ﬁve (5) days upon its receipt of a </w:t>
      </w:r>
      <w:r>
        <w:rPr>
          <w:rFonts w:ascii="Spectral Regular" w:hAnsi="Spectral Regular"/>
          <w:i/>
          <w:iCs/>
        </w:rPr>
        <w:t>Notice to Resume</w:t>
      </w:r>
      <w:r>
        <w:rPr>
          <w:rFonts w:ascii="Spectral Regular" w:hAnsi="Spectral Regular"/>
        </w:rPr>
        <w:t xml:space="preserve"> when a </w:t>
      </w:r>
      <w:r>
        <w:rPr>
          <w:rFonts w:ascii="Spectral Regular" w:hAnsi="Spectral Regular"/>
          <w:i/>
          <w:iCs/>
        </w:rPr>
        <w:t>force majeure</w:t>
      </w:r>
      <w:r>
        <w:rPr>
          <w:rFonts w:ascii="Spectral Regular" w:hAnsi="Spectral Regular"/>
        </w:rPr>
        <w:t xml:space="preserve"> has ceased.</w:t>
      </w:r>
    </w:p>
    <w:p w:rsidR="005148A4" w:rsidRDefault="00EB735E">
      <w:pPr>
        <w:pStyle w:val="Default"/>
        <w:widowControl w:val="0"/>
        <w:spacing w:before="200"/>
        <w:ind w:left="127" w:right="101" w:firstLine="720"/>
        <w:jc w:val="both"/>
        <w:rPr>
          <w:rFonts w:ascii="Spectral Regular" w:eastAsia="Spectral Regular" w:hAnsi="Spectral Regular" w:cs="Spectral Regular"/>
        </w:rPr>
      </w:pPr>
      <w:r>
        <w:rPr>
          <w:rFonts w:ascii="Spectral Regular" w:hAnsi="Spectral Regular"/>
        </w:rPr>
        <w:t xml:space="preserve">Section 2. The PROCURING ENTITY may terminate this Contract in case it has determined </w:t>
      </w:r>
      <w:r>
        <w:rPr>
          <w:rFonts w:ascii="Spectral Regular" w:hAnsi="Spectral Regular"/>
          <w:i/>
          <w:iCs/>
        </w:rPr>
        <w:t xml:space="preserve">prima facie </w:t>
      </w:r>
      <w:r>
        <w:rPr>
          <w:rFonts w:ascii="Spectral Regular" w:hAnsi="Spectral Regular"/>
        </w:rPr>
        <w:t>that the CONTRACTOR has engaged, before or during the implementation of the Contract, in unlawful deeds and behaviors relative to contract acquisition and implementation. Unlawful acts include, but are not limited to, the following:</w:t>
      </w:r>
    </w:p>
    <w:p w:rsidR="005148A4" w:rsidRDefault="00EB735E">
      <w:pPr>
        <w:pStyle w:val="Default"/>
        <w:widowControl w:val="0"/>
        <w:numPr>
          <w:ilvl w:val="0"/>
          <w:numId w:val="22"/>
        </w:numPr>
        <w:spacing w:before="0" w:after="100"/>
        <w:rPr>
          <w:rFonts w:ascii="Spectral Regular" w:hAnsi="Spectral Regular"/>
        </w:rPr>
      </w:pPr>
      <w:r>
        <w:rPr>
          <w:rFonts w:ascii="Spectral Regular" w:hAnsi="Spectral Regular"/>
        </w:rPr>
        <w:t>corrupt, fraudulent, collusive, and coercive practices;</w:t>
      </w:r>
    </w:p>
    <w:p w:rsidR="005148A4" w:rsidRDefault="00EB735E">
      <w:pPr>
        <w:pStyle w:val="Default"/>
        <w:widowControl w:val="0"/>
        <w:numPr>
          <w:ilvl w:val="0"/>
          <w:numId w:val="22"/>
        </w:numPr>
        <w:spacing w:before="0" w:after="100"/>
        <w:rPr>
          <w:rFonts w:ascii="Spectral Regular" w:hAnsi="Spectral Regular"/>
        </w:rPr>
      </w:pPr>
      <w:r>
        <w:rPr>
          <w:rFonts w:ascii="Spectral Regular" w:hAnsi="Spectral Regular"/>
        </w:rPr>
        <w:t>drawing up or using forged documents;</w:t>
      </w:r>
    </w:p>
    <w:p w:rsidR="005148A4" w:rsidRDefault="00EB735E">
      <w:pPr>
        <w:pStyle w:val="Default"/>
        <w:widowControl w:val="0"/>
        <w:numPr>
          <w:ilvl w:val="0"/>
          <w:numId w:val="22"/>
        </w:numPr>
        <w:spacing w:before="0" w:after="100"/>
        <w:rPr>
          <w:rFonts w:ascii="Spectral Regular" w:hAnsi="Spectral Regular"/>
        </w:rPr>
      </w:pPr>
      <w:r>
        <w:rPr>
          <w:rFonts w:ascii="Spectral Regular" w:hAnsi="Spectral Regular"/>
        </w:rPr>
        <w:t>using adulterated materials, means, or methods, or engaging in production contrary to rules of science or the trade; or</w:t>
      </w:r>
    </w:p>
    <w:p w:rsidR="005148A4" w:rsidRDefault="00EB735E">
      <w:pPr>
        <w:pStyle w:val="Default"/>
        <w:widowControl w:val="0"/>
        <w:numPr>
          <w:ilvl w:val="0"/>
          <w:numId w:val="22"/>
        </w:numPr>
        <w:spacing w:before="0" w:after="100"/>
        <w:rPr>
          <w:rFonts w:ascii="Spectral Regular" w:hAnsi="Spectral Regular"/>
        </w:rPr>
      </w:pPr>
      <w:r>
        <w:rPr>
          <w:rFonts w:ascii="Spectral Regular" w:hAnsi="Spectral Regular"/>
        </w:rPr>
        <w:t>any other acts analogous to the foregoing.</w:t>
      </w:r>
    </w:p>
    <w:p w:rsidR="005148A4" w:rsidRDefault="00EB735E">
      <w:pPr>
        <w:pStyle w:val="Default"/>
        <w:widowControl w:val="0"/>
        <w:spacing w:before="200"/>
        <w:ind w:left="127" w:right="102" w:firstLine="720"/>
        <w:jc w:val="both"/>
        <w:rPr>
          <w:rFonts w:ascii="Spectral Regular" w:eastAsia="Spectral Regular" w:hAnsi="Spectral Regular" w:cs="Spectral Regular"/>
        </w:rPr>
      </w:pPr>
      <w:r>
        <w:rPr>
          <w:rFonts w:ascii="Spectral Regular" w:hAnsi="Spectral Regular"/>
        </w:rPr>
        <w:t xml:space="preserve">Section 3. The PROCURING ENTITY may terminate the Contract, in whole or in part, at any time for its convenience. The Head of the Procuring Entity may terminate this Contract for the convenience of the Government if she has determined the existence of conditions that make the PROJECT implementation economically, ﬁnancially, or technically impractical and/or unnecessary, such as but not limited to, fortuitous </w:t>
      </w:r>
      <w:r>
        <w:rPr>
          <w:rFonts w:ascii="Spectral Regular" w:hAnsi="Spectral Regular"/>
        </w:rPr>
        <w:lastRenderedPageBreak/>
        <w:t xml:space="preserve">event (s) or changes in law and national government </w:t>
      </w:r>
      <w:proofErr w:type="gramStart"/>
      <w:r>
        <w:rPr>
          <w:rFonts w:ascii="Spectral Regular" w:hAnsi="Spectral Regular"/>
        </w:rPr>
        <w:t>policies..</w:t>
      </w:r>
      <w:proofErr w:type="gramEnd"/>
    </w:p>
    <w:p w:rsidR="005148A4" w:rsidRDefault="00EB735E">
      <w:pPr>
        <w:pStyle w:val="Default"/>
        <w:widowControl w:val="0"/>
        <w:spacing w:before="200"/>
        <w:ind w:left="127" w:right="107" w:firstLine="720"/>
        <w:jc w:val="both"/>
        <w:rPr>
          <w:rFonts w:ascii="Spectral Regular" w:eastAsia="Spectral Regular" w:hAnsi="Spectral Regular" w:cs="Spectral Regular"/>
        </w:rPr>
      </w:pPr>
      <w:r>
        <w:rPr>
          <w:rFonts w:ascii="Spectral Regular" w:hAnsi="Spectral Regular"/>
        </w:rPr>
        <w:t>Section 4. The CONTRACTOR has ﬁled insolvency proceedings or is declared insolvent by the court. In this case, the termination will be without compensation to the CONTRACTOR, provided that such termination will not prejudice or aﬀect any right of action or remedy which has accrued or will accrue thereafter to the PROCURING ENTITY and/or the CONTRACTOR.</w:t>
      </w:r>
    </w:p>
    <w:p w:rsidR="005148A4" w:rsidRDefault="00EB735E">
      <w:pPr>
        <w:pStyle w:val="Default"/>
        <w:widowControl w:val="0"/>
        <w:spacing w:before="0" w:after="140"/>
        <w:ind w:left="127" w:right="100" w:firstLine="720"/>
        <w:jc w:val="both"/>
        <w:rPr>
          <w:rFonts w:ascii="Spectral Regular" w:eastAsia="Spectral Regular" w:hAnsi="Spectral Regular" w:cs="Spectral Regular"/>
        </w:rPr>
      </w:pPr>
      <w:r>
        <w:rPr>
          <w:rFonts w:ascii="Spectral Regular" w:hAnsi="Spectral Regular"/>
        </w:rPr>
        <w:t>Section 5. Any other grounds as may be required or authorized by Applicable Laws.  The pre-termination of this Contract shall be without prejudice to the rights and remedies available to the PROCURING ENTITY as provided for by Applicable Laws.</w:t>
      </w:r>
    </w:p>
    <w:p w:rsidR="005148A4" w:rsidRDefault="00EB735E">
      <w:pPr>
        <w:pStyle w:val="Subtitle"/>
      </w:pPr>
      <w:bookmarkStart w:id="18" w:name="_Toc18"/>
      <w:r>
        <w:rPr>
          <w:rStyle w:val="NoneA"/>
          <w:rFonts w:eastAsia="Arial Unicode MS" w:cs="Arial Unicode MS"/>
        </w:rPr>
        <w:t>ARTICLE 20 - Procedure for Termination</w:t>
      </w:r>
      <w:bookmarkEnd w:id="18"/>
    </w:p>
    <w:p w:rsidR="005148A4" w:rsidRDefault="00EB735E">
      <w:pPr>
        <w:pStyle w:val="Default"/>
        <w:widowControl w:val="0"/>
        <w:spacing w:before="0" w:after="80"/>
        <w:ind w:left="127" w:right="100" w:firstLine="720"/>
        <w:jc w:val="both"/>
        <w:rPr>
          <w:rFonts w:ascii="Spectral Regular" w:eastAsia="Spectral Regular" w:hAnsi="Spectral Regular" w:cs="Spectral Regular"/>
        </w:rPr>
      </w:pPr>
      <w:r>
        <w:rPr>
          <w:rFonts w:ascii="Spectral Regular" w:hAnsi="Spectral Regular"/>
        </w:rPr>
        <w:t xml:space="preserve">Section 1. </w:t>
      </w:r>
      <w:r>
        <w:rPr>
          <w:rFonts w:ascii="Spectral Regular" w:hAnsi="Spectral Regular"/>
          <w:i/>
          <w:iCs/>
        </w:rPr>
        <w:t>Veriﬁcation</w:t>
      </w:r>
      <w:r>
        <w:rPr>
          <w:rFonts w:ascii="Spectral Regular" w:hAnsi="Spectral Regular"/>
        </w:rPr>
        <w:t>.</w:t>
      </w:r>
      <w:r>
        <w:rPr>
          <w:rFonts w:ascii="Spectral Regular" w:eastAsia="Spectral Regular" w:hAnsi="Spectral Regular" w:cs="Spectral Regular"/>
          <w:vertAlign w:val="superscript"/>
        </w:rPr>
        <w:footnoteReference w:id="7"/>
      </w:r>
      <w:r>
        <w:rPr>
          <w:rFonts w:ascii="Spectral Regular" w:hAnsi="Spectral Regular"/>
        </w:rPr>
        <w:t xml:space="preserve"> - Upon receipt of a written report of acts or causes which may constitute ground(s) for termination as aforementioned, or upon its own initiative, the Implementing Unit shall, within a period of seven (7) calendar days, verify the existence of such ground(s) and cause the execution of a Verified Report, with all relevant evidence attached. </w:t>
      </w:r>
    </w:p>
    <w:p w:rsidR="005148A4" w:rsidRDefault="00EB735E">
      <w:pPr>
        <w:pStyle w:val="Default"/>
        <w:widowControl w:val="0"/>
        <w:spacing w:before="0" w:after="80"/>
        <w:ind w:left="127" w:right="100" w:firstLine="720"/>
        <w:jc w:val="both"/>
        <w:rPr>
          <w:rFonts w:ascii="Spectral Regular" w:eastAsia="Spectral Regular" w:hAnsi="Spectral Regular" w:cs="Spectral Regular"/>
        </w:rPr>
      </w:pPr>
      <w:r>
        <w:rPr>
          <w:rFonts w:ascii="Spectral Regular" w:hAnsi="Spectral Regular"/>
        </w:rPr>
        <w:t xml:space="preserve">Section 2. </w:t>
      </w:r>
      <w:r>
        <w:rPr>
          <w:rFonts w:ascii="Spectral Regular" w:hAnsi="Spectral Regular"/>
          <w:i/>
          <w:iCs/>
        </w:rPr>
        <w:t>Notice to Terminate</w:t>
      </w:r>
      <w:r>
        <w:rPr>
          <w:rFonts w:ascii="Spectral Regular" w:hAnsi="Spectral Regular"/>
        </w:rPr>
        <w:t>.</w:t>
      </w:r>
      <w:r>
        <w:rPr>
          <w:rFonts w:ascii="Spectral Regular" w:eastAsia="Spectral Regular" w:hAnsi="Spectral Regular" w:cs="Spectral Regular"/>
          <w:vertAlign w:val="superscript"/>
        </w:rPr>
        <w:footnoteReference w:id="8"/>
      </w:r>
      <w:r>
        <w:rPr>
          <w:rFonts w:ascii="Spectral Regular" w:hAnsi="Spectral Regular"/>
        </w:rPr>
        <w:t xml:space="preserve"> - Upon recommendation by the Implementing Unit, the Head of the Procuring Entity shall terminate contracts only by issuing a written </w:t>
      </w:r>
      <w:r>
        <w:rPr>
          <w:rFonts w:ascii="Spectral Regular" w:hAnsi="Spectral Regular"/>
          <w:i/>
          <w:iCs/>
        </w:rPr>
        <w:t>Notice to Terminate</w:t>
      </w:r>
      <w:r>
        <w:rPr>
          <w:rFonts w:ascii="Spectral Regular" w:hAnsi="Spectral Regular"/>
        </w:rPr>
        <w:t xml:space="preserve"> to the Supplier/Contractor. The notice shall state: </w:t>
      </w:r>
    </w:p>
    <w:p w:rsidR="005148A4" w:rsidRDefault="00EB735E">
      <w:pPr>
        <w:pStyle w:val="Default"/>
        <w:widowControl w:val="0"/>
        <w:spacing w:before="0"/>
        <w:ind w:left="127" w:right="100" w:firstLine="720"/>
        <w:jc w:val="both"/>
        <w:rPr>
          <w:rFonts w:ascii="Spectral Regular" w:eastAsia="Spectral Regular" w:hAnsi="Spectral Regular" w:cs="Spectral Regular"/>
        </w:rPr>
      </w:pPr>
      <w:r>
        <w:rPr>
          <w:rFonts w:ascii="Spectral Regular" w:hAnsi="Spectral Regular"/>
        </w:rPr>
        <w:t xml:space="preserve">a) that the contract is being terminated for any of the ground(s) afore-mentioned, and a statement of the acts that constitute the ground(s) constituting the same; </w:t>
      </w:r>
    </w:p>
    <w:p w:rsidR="005148A4" w:rsidRDefault="00EB735E">
      <w:pPr>
        <w:pStyle w:val="Default"/>
        <w:widowControl w:val="0"/>
        <w:spacing w:before="0"/>
        <w:ind w:left="127" w:right="100" w:firstLine="720"/>
        <w:jc w:val="both"/>
        <w:rPr>
          <w:rFonts w:ascii="Spectral Regular" w:eastAsia="Spectral Regular" w:hAnsi="Spectral Regular" w:cs="Spectral Regular"/>
        </w:rPr>
      </w:pPr>
      <w:r>
        <w:rPr>
          <w:rFonts w:ascii="Spectral Regular" w:hAnsi="Spectral Regular"/>
        </w:rPr>
        <w:t xml:space="preserve">b) the extent of termination, whether in whole or in part; </w:t>
      </w:r>
    </w:p>
    <w:p w:rsidR="005148A4" w:rsidRDefault="00EB735E">
      <w:pPr>
        <w:pStyle w:val="Default"/>
        <w:widowControl w:val="0"/>
        <w:spacing w:before="0"/>
        <w:ind w:left="127" w:right="100" w:firstLine="720"/>
        <w:jc w:val="both"/>
        <w:rPr>
          <w:rFonts w:ascii="Spectral Regular" w:eastAsia="Spectral Regular" w:hAnsi="Spectral Regular" w:cs="Spectral Regular"/>
        </w:rPr>
      </w:pPr>
      <w:r>
        <w:rPr>
          <w:rFonts w:ascii="Spectral Regular" w:hAnsi="Spectral Regular"/>
        </w:rPr>
        <w:t xml:space="preserve">c) an instruction to the Supplier/Contractor/Consultant to show cause as to why the contract should not be terminated; and </w:t>
      </w:r>
    </w:p>
    <w:p w:rsidR="005148A4" w:rsidRDefault="00EB735E">
      <w:pPr>
        <w:pStyle w:val="Default"/>
        <w:widowControl w:val="0"/>
        <w:spacing w:before="0" w:after="60"/>
        <w:ind w:left="127" w:right="100" w:firstLine="720"/>
        <w:jc w:val="both"/>
        <w:rPr>
          <w:rFonts w:ascii="Spectral Regular" w:eastAsia="Spectral Regular" w:hAnsi="Spectral Regular" w:cs="Spectral Regular"/>
        </w:rPr>
      </w:pPr>
      <w:r>
        <w:rPr>
          <w:rFonts w:ascii="Spectral Regular" w:hAnsi="Spectral Regular"/>
        </w:rPr>
        <w:t xml:space="preserve">d) special instructions of the Procuring Entity, if any. </w:t>
      </w:r>
    </w:p>
    <w:p w:rsidR="005148A4" w:rsidRDefault="00EB735E">
      <w:pPr>
        <w:pStyle w:val="BodyA"/>
        <w:rPr>
          <w:spacing w:val="-6"/>
        </w:rPr>
      </w:pPr>
      <w:r>
        <w:rPr>
          <w:spacing w:val="-6"/>
        </w:rPr>
        <w:t xml:space="preserve">Section 3. </w:t>
      </w:r>
      <w:r>
        <w:rPr>
          <w:i/>
          <w:iCs/>
          <w:spacing w:val="-6"/>
        </w:rPr>
        <w:t>Show Cause</w:t>
      </w:r>
      <w:r>
        <w:rPr>
          <w:spacing w:val="-6"/>
        </w:rPr>
        <w:t>.</w:t>
      </w:r>
      <w:r>
        <w:rPr>
          <w:rFonts w:eastAsia="Spectral Regular" w:cs="Spectral Regular"/>
          <w:spacing w:val="-6"/>
          <w:vertAlign w:val="superscript"/>
        </w:rPr>
        <w:footnoteReference w:id="9"/>
      </w:r>
      <w:r>
        <w:rPr>
          <w:spacing w:val="-6"/>
        </w:rPr>
        <w:t xml:space="preserve"> - Within a period of seven (7) calendar days from receipt of the </w:t>
      </w:r>
      <w:r>
        <w:rPr>
          <w:i/>
          <w:iCs/>
          <w:spacing w:val="-6"/>
        </w:rPr>
        <w:t>Notice to Terminate</w:t>
      </w:r>
      <w:r>
        <w:rPr>
          <w:spacing w:val="-6"/>
        </w:rPr>
        <w:t xml:space="preserve">, the Supplier/Contractor/Consultant shall submit to the Head of the Procuring Entity a </w:t>
      </w:r>
      <w:r>
        <w:rPr>
          <w:i/>
          <w:iCs/>
          <w:spacing w:val="-6"/>
        </w:rPr>
        <w:t>verified</w:t>
      </w:r>
      <w:r>
        <w:rPr>
          <w:spacing w:val="-6"/>
        </w:rPr>
        <w:t xml:space="preserve"> position paper stating why the contract should not be terminated. </w:t>
      </w:r>
    </w:p>
    <w:p w:rsidR="005148A4" w:rsidRDefault="00EB735E">
      <w:pPr>
        <w:pStyle w:val="BodyA"/>
        <w:numPr>
          <w:ilvl w:val="0"/>
          <w:numId w:val="24"/>
        </w:numPr>
      </w:pPr>
      <w:r>
        <w:t xml:space="preserve">If the Supplier/Contractor/Consultant fails to show cause after the lapse of the seven (7) day period, either by inaction or by default, the Head of the Procuring Entity shall issue an order terminating the contract. </w:t>
      </w:r>
    </w:p>
    <w:p w:rsidR="005148A4" w:rsidRDefault="00EB735E">
      <w:pPr>
        <w:pStyle w:val="BodyA"/>
      </w:pPr>
      <w:r>
        <w:rPr>
          <w:rStyle w:val="NoneA"/>
        </w:rPr>
        <w:t xml:space="preserve">Section 4. </w:t>
      </w:r>
      <w:r>
        <w:rPr>
          <w:i/>
          <w:iCs/>
        </w:rPr>
        <w:t>Rescission of Notice of Termination</w:t>
      </w:r>
      <w:r>
        <w:rPr>
          <w:rStyle w:val="NoneA"/>
        </w:rPr>
        <w:t>.</w:t>
      </w:r>
      <w:r>
        <w:rPr>
          <w:rFonts w:eastAsia="Spectral Regular" w:cs="Spectral Regular"/>
          <w:vertAlign w:val="superscript"/>
        </w:rPr>
        <w:footnoteReference w:id="10"/>
      </w:r>
      <w:r>
        <w:rPr>
          <w:rStyle w:val="NoneA"/>
        </w:rPr>
        <w:t xml:space="preserve"> - The Procuring Entity may, at any time </w:t>
      </w:r>
      <w:r>
        <w:rPr>
          <w:i/>
          <w:iCs/>
        </w:rPr>
        <w:t>before</w:t>
      </w:r>
      <w:r>
        <w:rPr>
          <w:rStyle w:val="NoneA"/>
        </w:rPr>
        <w:t xml:space="preserve"> receipt of the Supplier’s/Contractor’s/Consultant’s verified position paper, withdraw the </w:t>
      </w:r>
      <w:r>
        <w:rPr>
          <w:i/>
          <w:iCs/>
        </w:rPr>
        <w:t>Notice to Terminate</w:t>
      </w:r>
      <w:r>
        <w:rPr>
          <w:rStyle w:val="NoneA"/>
        </w:rPr>
        <w:t xml:space="preserve"> if it is determined that certain items or works </w:t>
      </w:r>
      <w:r>
        <w:rPr>
          <w:rStyle w:val="NoneA"/>
        </w:rPr>
        <w:lastRenderedPageBreak/>
        <w:t xml:space="preserve">subject of the notice had been completed, delivered, or performed </w:t>
      </w:r>
      <w:r>
        <w:rPr>
          <w:i/>
          <w:iCs/>
        </w:rPr>
        <w:t>before</w:t>
      </w:r>
      <w:r>
        <w:rPr>
          <w:rStyle w:val="NoneA"/>
        </w:rPr>
        <w:t xml:space="preserve"> the Supplier’s/Contractor’s/Consultant’s receipt of the notice. </w:t>
      </w:r>
    </w:p>
    <w:p w:rsidR="005148A4" w:rsidRDefault="00EB735E">
      <w:pPr>
        <w:pStyle w:val="BodyA"/>
      </w:pPr>
      <w:r>
        <w:rPr>
          <w:rStyle w:val="NoneA"/>
        </w:rPr>
        <w:t xml:space="preserve">Section 5. </w:t>
      </w:r>
      <w:r>
        <w:rPr>
          <w:i/>
          <w:iCs/>
        </w:rPr>
        <w:t>Decision</w:t>
      </w:r>
      <w:r>
        <w:rPr>
          <w:rStyle w:val="NoneA"/>
        </w:rPr>
        <w:t>.</w:t>
      </w:r>
      <w:r>
        <w:rPr>
          <w:rFonts w:eastAsia="Spectral Regular" w:cs="Spectral Regular"/>
          <w:vertAlign w:val="superscript"/>
        </w:rPr>
        <w:footnoteReference w:id="11"/>
      </w:r>
      <w:r>
        <w:rPr>
          <w:rStyle w:val="NoneA"/>
        </w:rPr>
        <w:t xml:space="preserve"> - Within a non-extendible period of ten (10) calendar days from receipt of the verified position paper, the Head of the Procuring Entity shall decide whether or not to terminate the contract. It shall serve a written notice to the Supplier/Contractor/Consultant of its decision and, unless otherwise provided, the Contract is deemed terminated from receipt of the Supplier/Contractor/Consultant of the notice of decision. The termination shall only be based on the ground(s) stated in the </w:t>
      </w:r>
      <w:r>
        <w:rPr>
          <w:i/>
          <w:iCs/>
        </w:rPr>
        <w:t>Notice to Terminate</w:t>
      </w:r>
      <w:r>
        <w:rPr>
          <w:rStyle w:val="NoneA"/>
        </w:rPr>
        <w:t xml:space="preserve">. </w:t>
      </w:r>
    </w:p>
    <w:p w:rsidR="005148A4" w:rsidRDefault="00EB735E">
      <w:pPr>
        <w:pStyle w:val="BodyA"/>
      </w:pPr>
      <w:r>
        <w:rPr>
          <w:rStyle w:val="NoneA"/>
        </w:rPr>
        <w:t xml:space="preserve">Section 6. </w:t>
      </w:r>
      <w:r>
        <w:rPr>
          <w:i/>
          <w:iCs/>
        </w:rPr>
        <w:t>Contract Termination Review Committee</w:t>
      </w:r>
      <w:r>
        <w:rPr>
          <w:rStyle w:val="NoneA"/>
        </w:rPr>
        <w:t>.</w:t>
      </w:r>
      <w:r>
        <w:rPr>
          <w:rFonts w:eastAsia="Spectral Regular" w:cs="Spectral Regular"/>
          <w:vertAlign w:val="superscript"/>
        </w:rPr>
        <w:footnoteReference w:id="12"/>
      </w:r>
      <w:r>
        <w:rPr>
          <w:rStyle w:val="NoneA"/>
        </w:rPr>
        <w:t xml:space="preserve"> - The Head of the Procuring Entity may create a committee to assist him in the discharge of his function under these Guidelines. All decisions recommended by the CTRC shall be subject to the approval of the Head of the Procuring Entity. </w:t>
      </w:r>
    </w:p>
    <w:p w:rsidR="005148A4" w:rsidRDefault="00EB735E">
      <w:pPr>
        <w:pStyle w:val="BodyA"/>
      </w:pPr>
      <w:r>
        <w:rPr>
          <w:rStyle w:val="NoneA"/>
        </w:rPr>
        <w:t xml:space="preserve">Section 7. </w:t>
      </w:r>
      <w:r>
        <w:rPr>
          <w:i/>
          <w:iCs/>
        </w:rPr>
        <w:t>Take-over of Contracts</w:t>
      </w:r>
      <w:r>
        <w:rPr>
          <w:rStyle w:val="NoneA"/>
        </w:rPr>
        <w:t>.</w:t>
      </w:r>
      <w:r>
        <w:rPr>
          <w:rFonts w:eastAsia="Spectral Regular" w:cs="Spectral Regular"/>
          <w:vertAlign w:val="superscript"/>
        </w:rPr>
        <w:footnoteReference w:id="13"/>
      </w:r>
      <w:r>
        <w:rPr>
          <w:rStyle w:val="NoneA"/>
        </w:rPr>
        <w:t xml:space="preserve"> </w:t>
      </w:r>
      <w:proofErr w:type="gramStart"/>
      <w:r>
        <w:rPr>
          <w:rStyle w:val="NoneA"/>
        </w:rPr>
        <w:t>-  If</w:t>
      </w:r>
      <w:proofErr w:type="gramEnd"/>
      <w:r>
        <w:rPr>
          <w:rStyle w:val="NoneA"/>
        </w:rPr>
        <w:t xml:space="preserve"> the Procuring Entity terminates the contract due to default, insolvency, or for cause, it may enter into a Negotiated Procurement pursuant to Section 53(c) of R.A. 9184 and 53.3 of its IRR. </w:t>
      </w:r>
    </w:p>
    <w:p w:rsidR="005148A4" w:rsidRDefault="00EB735E">
      <w:pPr>
        <w:pStyle w:val="BodyA"/>
      </w:pPr>
      <w:r>
        <w:rPr>
          <w:rStyle w:val="NoneA"/>
        </w:rPr>
        <w:t xml:space="preserve">Section 8. </w:t>
      </w:r>
      <w:r>
        <w:rPr>
          <w:i/>
          <w:iCs/>
        </w:rPr>
        <w:t>Procuring Entity’s Options in Termination for Convenience in Contracts for Goods</w:t>
      </w:r>
      <w:r>
        <w:rPr>
          <w:rStyle w:val="NoneA"/>
        </w:rPr>
        <w:t>.</w:t>
      </w:r>
      <w:r>
        <w:rPr>
          <w:rFonts w:eastAsia="Spectral Regular" w:cs="Spectral Regular"/>
          <w:vertAlign w:val="superscript"/>
        </w:rPr>
        <w:footnoteReference w:id="14"/>
      </w:r>
      <w:r>
        <w:rPr>
          <w:rStyle w:val="NoneA"/>
        </w:rPr>
        <w:t xml:space="preserve"> - The goods that have been performed or are ready for delivery within thirty (30) calendar days </w:t>
      </w:r>
      <w:r>
        <w:rPr>
          <w:i/>
          <w:iCs/>
        </w:rPr>
        <w:t>after</w:t>
      </w:r>
      <w:r>
        <w:rPr>
          <w:rStyle w:val="NoneA"/>
        </w:rPr>
        <w:t xml:space="preserve"> the Supplier’s/Contractor’s receipt of Notice to Terminate shall be accepted by the Procuring Entity at the contract terms and prices. For goods not yet performed or ready for delivery, the Procuring Entity may elect: </w:t>
      </w:r>
    </w:p>
    <w:p w:rsidR="005148A4" w:rsidRDefault="00EB735E">
      <w:pPr>
        <w:pStyle w:val="Default"/>
        <w:widowControl w:val="0"/>
        <w:spacing w:before="0"/>
        <w:ind w:left="127" w:right="106" w:firstLine="720"/>
        <w:jc w:val="both"/>
        <w:rPr>
          <w:rFonts w:ascii="Spectral Regular" w:eastAsia="Spectral Regular" w:hAnsi="Spectral Regular" w:cs="Spectral Regular"/>
        </w:rPr>
      </w:pPr>
      <w:r>
        <w:rPr>
          <w:rFonts w:ascii="Spectral Regular" w:hAnsi="Spectral Regular"/>
        </w:rPr>
        <w:t>a) to have any portion delivered or performed and paid at the contract terms and prices; and/or</w:t>
      </w:r>
    </w:p>
    <w:p w:rsidR="005148A4" w:rsidRDefault="00EB735E">
      <w:pPr>
        <w:pStyle w:val="Default"/>
        <w:widowControl w:val="0"/>
        <w:spacing w:before="0"/>
        <w:ind w:left="127" w:right="106" w:firstLine="720"/>
        <w:jc w:val="both"/>
        <w:rPr>
          <w:rFonts w:ascii="Spectral Regular" w:eastAsia="Spectral Regular" w:hAnsi="Spectral Regular" w:cs="Spectral Regular"/>
        </w:rPr>
      </w:pPr>
      <w:r>
        <w:rPr>
          <w:rFonts w:ascii="Spectral Regular" w:hAnsi="Spectral Regular"/>
        </w:rPr>
        <w:t xml:space="preserve">b) to cancel the remainder and pay to the Supplier an agreed amount for partially completed or performed goods and for materials and parts previously procured by the Supplier. </w:t>
      </w:r>
    </w:p>
    <w:p w:rsidR="005148A4" w:rsidRDefault="00EB735E">
      <w:pPr>
        <w:pStyle w:val="BodyA"/>
      </w:pPr>
      <w:r>
        <w:rPr>
          <w:rStyle w:val="NoneA"/>
        </w:rPr>
        <w:t xml:space="preserve">If the Supplier suffers loss in its initial performance of the terminated contract, such as the purchase of raw materials for goods specially manufactured for the Procuring Entity which cannot be sold in the open market, it shall be allowed to recover partially from the contract, on a </w:t>
      </w:r>
      <w:r>
        <w:rPr>
          <w:i/>
          <w:iCs/>
        </w:rPr>
        <w:t xml:space="preserve">quantum meruit </w:t>
      </w:r>
      <w:r>
        <w:rPr>
          <w:rStyle w:val="NoneA"/>
        </w:rPr>
        <w:t>basis. Before recovery may be made, the fact of loss must be established under oath by the Supplier to the satisfaction of the Procuring Entity.</w:t>
      </w:r>
    </w:p>
    <w:p w:rsidR="005148A4" w:rsidRDefault="00EB735E">
      <w:pPr>
        <w:pStyle w:val="BodyA"/>
      </w:pPr>
      <w:r>
        <w:rPr>
          <w:rStyle w:val="NoneA"/>
        </w:rPr>
        <w:t xml:space="preserve">Section 9. </w:t>
      </w:r>
      <w:r>
        <w:rPr>
          <w:i/>
          <w:iCs/>
        </w:rPr>
        <w:t>Notice by Contractor/Consultant</w:t>
      </w:r>
      <w:r>
        <w:rPr>
          <w:rStyle w:val="NoneA"/>
        </w:rPr>
        <w:t>.</w:t>
      </w:r>
      <w:r>
        <w:rPr>
          <w:rFonts w:eastAsia="Spectral Regular" w:cs="Spectral Regular"/>
          <w:vertAlign w:val="superscript"/>
        </w:rPr>
        <w:footnoteReference w:id="15"/>
      </w:r>
      <w:r>
        <w:rPr>
          <w:rStyle w:val="NoneA"/>
        </w:rPr>
        <w:t xml:space="preserve"> - The Contractor/Consultant must </w:t>
      </w:r>
      <w:r>
        <w:rPr>
          <w:rStyle w:val="NoneA"/>
        </w:rPr>
        <w:lastRenderedPageBreak/>
        <w:t xml:space="preserve">serve a written notice to the Procuring Entity of its intention to terminate the contract at least thirty (30) calendar days before its intended termination. The Contract is </w:t>
      </w:r>
      <w:r>
        <w:rPr>
          <w:i/>
          <w:iCs/>
        </w:rPr>
        <w:t>deemed</w:t>
      </w:r>
      <w:r>
        <w:rPr>
          <w:rStyle w:val="NoneA"/>
        </w:rPr>
        <w:t xml:space="preserve"> terminated if it is not resumed in thirty (30) calendar days after the receipt of such notice by the Procuring Entity. </w:t>
      </w:r>
    </w:p>
    <w:p w:rsidR="005148A4" w:rsidRDefault="00EB735E">
      <w:pPr>
        <w:pStyle w:val="Default"/>
        <w:widowControl w:val="0"/>
        <w:spacing w:before="200"/>
        <w:ind w:left="127" w:right="106" w:firstLine="705"/>
        <w:jc w:val="both"/>
        <w:rPr>
          <w:rFonts w:ascii="Spectral Regular" w:eastAsia="Spectral Regular" w:hAnsi="Spectral Regular" w:cs="Spectral Regular"/>
        </w:rPr>
      </w:pPr>
      <w:r>
        <w:rPr>
          <w:rFonts w:ascii="Spectral Regular" w:hAnsi="Spectral Regular"/>
        </w:rPr>
        <w:t xml:space="preserve">Section 10. </w:t>
      </w:r>
      <w:r>
        <w:rPr>
          <w:rFonts w:ascii="Spectral Regular" w:hAnsi="Spectral Regular"/>
          <w:i/>
          <w:iCs/>
        </w:rPr>
        <w:t xml:space="preserve">Settlement of obligations. </w:t>
      </w:r>
      <w:r>
        <w:rPr>
          <w:rFonts w:ascii="Spectral Regular" w:hAnsi="Spectral Regular"/>
        </w:rPr>
        <w:t xml:space="preserve">- </w:t>
      </w:r>
    </w:p>
    <w:p w:rsidR="005148A4" w:rsidRDefault="00EB735E">
      <w:pPr>
        <w:pStyle w:val="Default"/>
        <w:widowControl w:val="0"/>
        <w:numPr>
          <w:ilvl w:val="0"/>
          <w:numId w:val="25"/>
        </w:numPr>
        <w:spacing w:before="100" w:after="100"/>
        <w:ind w:right="113"/>
        <w:jc w:val="both"/>
        <w:rPr>
          <w:rFonts w:ascii="Spectral Regular" w:hAnsi="Spectral Regular"/>
        </w:rPr>
      </w:pPr>
      <w:r>
        <w:rPr>
          <w:rFonts w:ascii="Spectral Regular" w:hAnsi="Spectral Regular"/>
        </w:rPr>
        <w:t xml:space="preserve">Within fifteen (15) days after the receipt by the CONTRACTOR of the </w:t>
      </w:r>
      <w:r>
        <w:rPr>
          <w:rFonts w:ascii="Spectral Regular" w:hAnsi="Spectral Regular"/>
          <w:i/>
          <w:iCs/>
        </w:rPr>
        <w:t>Notice of Termination</w:t>
      </w:r>
      <w:r>
        <w:rPr>
          <w:rFonts w:ascii="Spectral Regular" w:hAnsi="Spectral Regular"/>
        </w:rPr>
        <w:t xml:space="preserve"> of the PROJECT, the parties shall settle their respective obligations including the refund of advances made to the CONTRACTOR and payment of services rendered less the amount of liquidated and other damages and penalties imposed under this Contract or authorized by law.</w:t>
      </w:r>
    </w:p>
    <w:p w:rsidR="005148A4" w:rsidRDefault="00EB735E">
      <w:pPr>
        <w:pStyle w:val="Default"/>
        <w:widowControl w:val="0"/>
        <w:numPr>
          <w:ilvl w:val="0"/>
          <w:numId w:val="25"/>
        </w:numPr>
        <w:spacing w:before="100" w:after="100"/>
        <w:ind w:right="113"/>
        <w:jc w:val="both"/>
        <w:rPr>
          <w:rFonts w:ascii="Spectral Regular" w:hAnsi="Spectral Regular"/>
        </w:rPr>
      </w:pPr>
      <w:r>
        <w:rPr>
          <w:rFonts w:ascii="Spectral Regular" w:hAnsi="Spectral Regular"/>
        </w:rPr>
        <w:t xml:space="preserve">Services and labor costs including goods and materials which are not acceptable to the PROCURING ENTITY shall not be paid for. </w:t>
      </w:r>
    </w:p>
    <w:p w:rsidR="005148A4" w:rsidRDefault="00EB735E">
      <w:pPr>
        <w:pStyle w:val="Default"/>
        <w:widowControl w:val="0"/>
        <w:numPr>
          <w:ilvl w:val="0"/>
          <w:numId w:val="25"/>
        </w:numPr>
        <w:spacing w:before="100" w:after="100"/>
        <w:ind w:right="113"/>
        <w:jc w:val="both"/>
        <w:rPr>
          <w:rFonts w:ascii="Spectral Regular" w:hAnsi="Spectral Regular"/>
        </w:rPr>
      </w:pPr>
      <w:r>
        <w:rPr>
          <w:rFonts w:ascii="Spectral Regular" w:hAnsi="Spectral Regular"/>
        </w:rPr>
        <w:t xml:space="preserve">The period for settlement of obligations may be extended by mutual Contract by the parties. Outstanding obligations which remain unsettled after the expiration of the 15-day period or any extension thereof shall earn a penalty interest of 1% per month, compounded monthly until fully paid. </w:t>
      </w:r>
    </w:p>
    <w:p w:rsidR="005148A4" w:rsidRDefault="00EB735E">
      <w:pPr>
        <w:pStyle w:val="Subtitle"/>
      </w:pPr>
      <w:bookmarkStart w:id="19" w:name="_Toc19"/>
      <w:r>
        <w:rPr>
          <w:rStyle w:val="NoneA"/>
          <w:rFonts w:eastAsia="Arial Unicode MS" w:cs="Arial Unicode MS"/>
        </w:rPr>
        <w:t>ARTICLE 21 - Take Over of Works</w:t>
      </w:r>
      <w:bookmarkEnd w:id="19"/>
    </w:p>
    <w:p w:rsidR="005148A4" w:rsidRDefault="00EB735E">
      <w:pPr>
        <w:pStyle w:val="BodyA"/>
      </w:pPr>
      <w:r>
        <w:rPr>
          <w:rStyle w:val="NoneA"/>
        </w:rPr>
        <w:t xml:space="preserve">Section 1. </w:t>
      </w:r>
      <w:r>
        <w:rPr>
          <w:i/>
          <w:iCs/>
        </w:rPr>
        <w:t xml:space="preserve">Take-over upon the termination of the Contract. </w:t>
      </w:r>
      <w:r>
        <w:rPr>
          <w:rStyle w:val="NoneA"/>
        </w:rPr>
        <w:t>-</w:t>
      </w:r>
      <w:r>
        <w:rPr>
          <w:spacing w:val="-6"/>
        </w:rPr>
        <w:t xml:space="preserve"> </w:t>
      </w:r>
      <w:r>
        <w:rPr>
          <w:rStyle w:val="NoneA"/>
        </w:rPr>
        <w:t>Upon</w:t>
      </w:r>
      <w:r>
        <w:rPr>
          <w:spacing w:val="-6"/>
        </w:rPr>
        <w:t xml:space="preserve"> </w:t>
      </w:r>
      <w:r>
        <w:rPr>
          <w:rStyle w:val="NoneA"/>
        </w:rPr>
        <w:t>receipt</w:t>
      </w:r>
      <w:r>
        <w:rPr>
          <w:spacing w:val="-6"/>
        </w:rPr>
        <w:t xml:space="preserve"> </w:t>
      </w:r>
      <w:r>
        <w:rPr>
          <w:rStyle w:val="NoneA"/>
        </w:rPr>
        <w:t>of</w:t>
      </w:r>
      <w:r>
        <w:rPr>
          <w:spacing w:val="-6"/>
        </w:rPr>
        <w:t xml:space="preserve"> </w:t>
      </w:r>
      <w:r>
        <w:rPr>
          <w:rStyle w:val="NoneA"/>
        </w:rPr>
        <w:t>the</w:t>
      </w:r>
      <w:r>
        <w:rPr>
          <w:spacing w:val="-6"/>
        </w:rPr>
        <w:t xml:space="preserve"> </w:t>
      </w:r>
      <w:r>
        <w:rPr>
          <w:i/>
          <w:iCs/>
        </w:rPr>
        <w:t>Notice of Termination</w:t>
      </w:r>
      <w:r>
        <w:rPr>
          <w:rStyle w:val="NoneA"/>
        </w:rPr>
        <w:t xml:space="preserve"> or if otherwise indicated in the</w:t>
      </w:r>
      <w:r>
        <w:rPr>
          <w:spacing w:val="-4"/>
        </w:rPr>
        <w:t xml:space="preserve"> </w:t>
      </w:r>
      <w:r>
        <w:rPr>
          <w:rStyle w:val="NoneA"/>
        </w:rPr>
        <w:t>Decision,</w:t>
      </w:r>
      <w:r>
        <w:rPr>
          <w:spacing w:val="-4"/>
        </w:rPr>
        <w:t xml:space="preserve"> </w:t>
      </w:r>
      <w:r>
        <w:rPr>
          <w:rStyle w:val="NoneA"/>
        </w:rPr>
        <w:t>the</w:t>
      </w:r>
      <w:r>
        <w:rPr>
          <w:spacing w:val="-4"/>
        </w:rPr>
        <w:t xml:space="preserve"> </w:t>
      </w:r>
      <w:r>
        <w:rPr>
          <w:rStyle w:val="NoneA"/>
        </w:rPr>
        <w:t>PROCURING ENTITY</w:t>
      </w:r>
      <w:r>
        <w:rPr>
          <w:spacing w:val="-4"/>
        </w:rPr>
        <w:t xml:space="preserve"> </w:t>
      </w:r>
      <w:r>
        <w:rPr>
          <w:rStyle w:val="NoneA"/>
        </w:rPr>
        <w:t>may take over and continue the PROJECT, and any contract</w:t>
      </w:r>
      <w:r>
        <w:rPr>
          <w:spacing w:val="-5"/>
        </w:rPr>
        <w:t xml:space="preserve"> </w:t>
      </w:r>
      <w:r>
        <w:rPr>
          <w:rStyle w:val="NoneA"/>
        </w:rPr>
        <w:t>or</w:t>
      </w:r>
      <w:r>
        <w:rPr>
          <w:spacing w:val="-5"/>
        </w:rPr>
        <w:t xml:space="preserve"> </w:t>
      </w:r>
      <w:r>
        <w:rPr>
          <w:rStyle w:val="NoneA"/>
        </w:rPr>
        <w:t>Contract</w:t>
      </w:r>
      <w:r>
        <w:rPr>
          <w:spacing w:val="-5"/>
        </w:rPr>
        <w:t xml:space="preserve"> </w:t>
      </w:r>
      <w:r>
        <w:rPr>
          <w:rStyle w:val="NoneA"/>
        </w:rPr>
        <w:t>of</w:t>
      </w:r>
      <w:r>
        <w:rPr>
          <w:spacing w:val="-5"/>
        </w:rPr>
        <w:t xml:space="preserve"> </w:t>
      </w:r>
      <w:r>
        <w:rPr>
          <w:rStyle w:val="NoneA"/>
        </w:rPr>
        <w:t>the</w:t>
      </w:r>
      <w:r>
        <w:rPr>
          <w:spacing w:val="-5"/>
        </w:rPr>
        <w:t xml:space="preserve"> </w:t>
      </w:r>
      <w:r>
        <w:rPr>
          <w:rStyle w:val="NoneA"/>
        </w:rPr>
        <w:t>CONTRACTOR with sub-contractors or third parties which the PROCURING ENTITY, in</w:t>
      </w:r>
      <w:r>
        <w:rPr>
          <w:spacing w:val="-4"/>
        </w:rPr>
        <w:t xml:space="preserve"> </w:t>
      </w:r>
      <w:r>
        <w:rPr>
          <w:rStyle w:val="NoneA"/>
        </w:rPr>
        <w:t>its</w:t>
      </w:r>
      <w:r>
        <w:rPr>
          <w:spacing w:val="-4"/>
        </w:rPr>
        <w:t xml:space="preserve"> </w:t>
      </w:r>
      <w:r>
        <w:rPr>
          <w:rStyle w:val="NoneA"/>
        </w:rPr>
        <w:t>discretion,</w:t>
      </w:r>
      <w:r>
        <w:rPr>
          <w:spacing w:val="-4"/>
        </w:rPr>
        <w:t xml:space="preserve"> </w:t>
      </w:r>
      <w:r>
        <w:rPr>
          <w:rStyle w:val="NoneA"/>
        </w:rPr>
        <w:t>may</w:t>
      </w:r>
      <w:r>
        <w:rPr>
          <w:spacing w:val="-4"/>
        </w:rPr>
        <w:t xml:space="preserve"> </w:t>
      </w:r>
      <w:r>
        <w:rPr>
          <w:rStyle w:val="NoneA"/>
        </w:rPr>
        <w:t>want</w:t>
      </w:r>
      <w:r>
        <w:rPr>
          <w:spacing w:val="-4"/>
        </w:rPr>
        <w:t xml:space="preserve"> </w:t>
      </w:r>
      <w:r>
        <w:rPr>
          <w:rStyle w:val="NoneA"/>
        </w:rPr>
        <w:t xml:space="preserve">to assume. Should the PROCURING ENTITY </w:t>
      </w:r>
      <w:proofErr w:type="gramStart"/>
      <w:r>
        <w:rPr>
          <w:rStyle w:val="NoneA"/>
        </w:rPr>
        <w:t>decides</w:t>
      </w:r>
      <w:proofErr w:type="gramEnd"/>
      <w:r>
        <w:rPr>
          <w:rStyle w:val="NoneA"/>
        </w:rPr>
        <w:t xml:space="preserve"> to assume</w:t>
      </w:r>
      <w:r>
        <w:rPr>
          <w:spacing w:val="-3"/>
        </w:rPr>
        <w:t xml:space="preserve"> </w:t>
      </w:r>
      <w:r>
        <w:rPr>
          <w:rStyle w:val="NoneA"/>
        </w:rPr>
        <w:t>contracts</w:t>
      </w:r>
      <w:r>
        <w:rPr>
          <w:spacing w:val="-3"/>
        </w:rPr>
        <w:t xml:space="preserve"> </w:t>
      </w:r>
      <w:r>
        <w:rPr>
          <w:rStyle w:val="NoneA"/>
        </w:rPr>
        <w:t>with</w:t>
      </w:r>
      <w:r>
        <w:rPr>
          <w:spacing w:val="-3"/>
        </w:rPr>
        <w:t xml:space="preserve"> </w:t>
      </w:r>
      <w:r>
        <w:rPr>
          <w:rStyle w:val="NoneA"/>
        </w:rPr>
        <w:t>sub-contractors</w:t>
      </w:r>
      <w:r>
        <w:rPr>
          <w:spacing w:val="-3"/>
        </w:rPr>
        <w:t xml:space="preserve"> </w:t>
      </w:r>
      <w:r>
        <w:rPr>
          <w:rStyle w:val="NoneA"/>
        </w:rPr>
        <w:t>or</w:t>
      </w:r>
      <w:r>
        <w:rPr>
          <w:spacing w:val="-3"/>
        </w:rPr>
        <w:t xml:space="preserve"> </w:t>
      </w:r>
      <w:r>
        <w:rPr>
          <w:rStyle w:val="NoneA"/>
        </w:rPr>
        <w:t>third parties, such sub-contracts or</w:t>
      </w:r>
      <w:r>
        <w:rPr>
          <w:spacing w:val="-6"/>
        </w:rPr>
        <w:t xml:space="preserve"> </w:t>
      </w:r>
      <w:r>
        <w:rPr>
          <w:rStyle w:val="NoneA"/>
        </w:rPr>
        <w:t>agreements</w:t>
      </w:r>
      <w:r>
        <w:rPr>
          <w:spacing w:val="-6"/>
        </w:rPr>
        <w:t xml:space="preserve"> </w:t>
      </w:r>
      <w:r>
        <w:rPr>
          <w:rStyle w:val="NoneA"/>
        </w:rPr>
        <w:t>are</w:t>
      </w:r>
      <w:r>
        <w:rPr>
          <w:spacing w:val="-6"/>
        </w:rPr>
        <w:t xml:space="preserve"> </w:t>
      </w:r>
      <w:r>
        <w:rPr>
          <w:rStyle w:val="NoneA"/>
        </w:rPr>
        <w:t>hereby</w:t>
      </w:r>
      <w:r>
        <w:rPr>
          <w:spacing w:val="-6"/>
        </w:rPr>
        <w:t xml:space="preserve"> </w:t>
      </w:r>
      <w:r>
        <w:rPr>
          <w:rStyle w:val="NoneA"/>
        </w:rPr>
        <w:t>assigned</w:t>
      </w:r>
      <w:r>
        <w:rPr>
          <w:spacing w:val="-6"/>
        </w:rPr>
        <w:t xml:space="preserve"> </w:t>
      </w:r>
      <w:r>
        <w:rPr>
          <w:rStyle w:val="NoneA"/>
        </w:rPr>
        <w:t>to</w:t>
      </w:r>
      <w:r>
        <w:rPr>
          <w:spacing w:val="-6"/>
        </w:rPr>
        <w:t xml:space="preserve"> </w:t>
      </w:r>
      <w:r>
        <w:rPr>
          <w:rStyle w:val="NoneA"/>
        </w:rPr>
        <w:t>the</w:t>
      </w:r>
      <w:r>
        <w:rPr>
          <w:spacing w:val="-6"/>
        </w:rPr>
        <w:t xml:space="preserve"> </w:t>
      </w:r>
      <w:r>
        <w:rPr>
          <w:rStyle w:val="NoneA"/>
        </w:rPr>
        <w:t>PROCURING ENTITY,</w:t>
      </w:r>
      <w:r>
        <w:rPr>
          <w:spacing w:val="-6"/>
        </w:rPr>
        <w:t xml:space="preserve"> </w:t>
      </w:r>
      <w:r>
        <w:rPr>
          <w:i/>
          <w:iCs/>
        </w:rPr>
        <w:t>provided</w:t>
      </w:r>
      <w:r>
        <w:rPr>
          <w:rStyle w:val="NoneA"/>
        </w:rPr>
        <w:t>, that the PROCURING ENTITY shall not be liable for unpaid obligations incurred by the CONTRACTOR prior to the take-over.</w:t>
      </w:r>
    </w:p>
    <w:p w:rsidR="005148A4" w:rsidRDefault="005148A4">
      <w:pPr>
        <w:pStyle w:val="BodyA"/>
      </w:pPr>
    </w:p>
    <w:p w:rsidR="005148A4" w:rsidRDefault="00EB735E">
      <w:pPr>
        <w:pStyle w:val="BodyA"/>
      </w:pPr>
      <w:r>
        <w:rPr>
          <w:rStyle w:val="NoneA"/>
        </w:rPr>
        <w:t xml:space="preserve">Section 2. </w:t>
      </w:r>
      <w:r>
        <w:rPr>
          <w:i/>
          <w:iCs/>
        </w:rPr>
        <w:t>Eﬀecting immediate take-over and forfeiture of Performance Bond.</w:t>
      </w:r>
      <w:r>
        <w:rPr>
          <w:i/>
          <w:iCs/>
          <w:spacing w:val="-4"/>
        </w:rPr>
        <w:t xml:space="preserve"> </w:t>
      </w:r>
      <w:r>
        <w:rPr>
          <w:rStyle w:val="NoneA"/>
        </w:rPr>
        <w:t>-</w:t>
      </w:r>
      <w:r>
        <w:rPr>
          <w:spacing w:val="-6"/>
        </w:rPr>
        <w:t xml:space="preserve"> </w:t>
      </w:r>
      <w:r>
        <w:rPr>
          <w:rStyle w:val="NoneA"/>
        </w:rPr>
        <w:t>In</w:t>
      </w:r>
      <w:r>
        <w:rPr>
          <w:spacing w:val="-6"/>
        </w:rPr>
        <w:t xml:space="preserve"> </w:t>
      </w:r>
      <w:r>
        <w:rPr>
          <w:rStyle w:val="NoneA"/>
        </w:rPr>
        <w:t>addition to the provisions</w:t>
      </w:r>
      <w:r>
        <w:rPr>
          <w:spacing w:val="-4"/>
        </w:rPr>
        <w:t xml:space="preserve"> </w:t>
      </w:r>
      <w:r>
        <w:rPr>
          <w:rStyle w:val="NoneA"/>
        </w:rPr>
        <w:t>on</w:t>
      </w:r>
      <w:r>
        <w:rPr>
          <w:spacing w:val="-4"/>
        </w:rPr>
        <w:t xml:space="preserve"> </w:t>
      </w:r>
      <w:r>
        <w:rPr>
          <w:rStyle w:val="NoneA"/>
        </w:rPr>
        <w:t>liquidated</w:t>
      </w:r>
      <w:r>
        <w:rPr>
          <w:spacing w:val="-4"/>
        </w:rPr>
        <w:t xml:space="preserve"> </w:t>
      </w:r>
      <w:r>
        <w:rPr>
          <w:rStyle w:val="NoneA"/>
        </w:rPr>
        <w:t>damages,</w:t>
      </w:r>
      <w:r>
        <w:rPr>
          <w:spacing w:val="-4"/>
        </w:rPr>
        <w:t xml:space="preserve"> </w:t>
      </w:r>
      <w:r>
        <w:rPr>
          <w:rStyle w:val="NoneA"/>
        </w:rPr>
        <w:t>the</w:t>
      </w:r>
      <w:r>
        <w:rPr>
          <w:spacing w:val="-4"/>
        </w:rPr>
        <w:t xml:space="preserve"> </w:t>
      </w:r>
      <w:r>
        <w:rPr>
          <w:rStyle w:val="NoneA"/>
        </w:rPr>
        <w:t>PROCURING ENTITY</w:t>
      </w:r>
      <w:r>
        <w:rPr>
          <w:spacing w:val="-4"/>
        </w:rPr>
        <w:t xml:space="preserve"> </w:t>
      </w:r>
      <w:r>
        <w:rPr>
          <w:rStyle w:val="NoneA"/>
        </w:rPr>
        <w:t>has</w:t>
      </w:r>
      <w:r>
        <w:rPr>
          <w:spacing w:val="-4"/>
        </w:rPr>
        <w:t xml:space="preserve"> </w:t>
      </w:r>
      <w:r>
        <w:rPr>
          <w:rStyle w:val="NoneA"/>
        </w:rPr>
        <w:t>the</w:t>
      </w:r>
      <w:r>
        <w:rPr>
          <w:spacing w:val="-4"/>
        </w:rPr>
        <w:t xml:space="preserve"> </w:t>
      </w:r>
      <w:r>
        <w:rPr>
          <w:rStyle w:val="NoneA"/>
        </w:rPr>
        <w:t>right</w:t>
      </w:r>
      <w:r>
        <w:rPr>
          <w:spacing w:val="-4"/>
        </w:rPr>
        <w:t xml:space="preserve"> </w:t>
      </w:r>
      <w:r>
        <w:rPr>
          <w:rStyle w:val="NoneA"/>
        </w:rPr>
        <w:t>to</w:t>
      </w:r>
      <w:r>
        <w:rPr>
          <w:spacing w:val="-4"/>
        </w:rPr>
        <w:t xml:space="preserve"> </w:t>
      </w:r>
      <w:r>
        <w:rPr>
          <w:rStyle w:val="NoneA"/>
        </w:rPr>
        <w:t>take</w:t>
      </w:r>
      <w:r>
        <w:rPr>
          <w:spacing w:val="-4"/>
        </w:rPr>
        <w:t xml:space="preserve"> </w:t>
      </w:r>
      <w:r>
        <w:rPr>
          <w:rStyle w:val="NoneA"/>
        </w:rPr>
        <w:t>all</w:t>
      </w:r>
      <w:r>
        <w:rPr>
          <w:spacing w:val="-4"/>
        </w:rPr>
        <w:t xml:space="preserve"> </w:t>
      </w:r>
      <w:r>
        <w:rPr>
          <w:rStyle w:val="NoneA"/>
        </w:rPr>
        <w:t xml:space="preserve">necessary and appropriate steps to eﬀect an immediate </w:t>
      </w:r>
      <w:proofErr w:type="spellStart"/>
      <w:r>
        <w:rPr>
          <w:rStyle w:val="NoneA"/>
        </w:rPr>
        <w:t>take over</w:t>
      </w:r>
      <w:proofErr w:type="spellEnd"/>
      <w:r>
        <w:rPr>
          <w:rStyle w:val="NoneA"/>
        </w:rPr>
        <w:t xml:space="preserve"> of the construction work either by itself or by another</w:t>
      </w:r>
      <w:r>
        <w:rPr>
          <w:spacing w:val="-3"/>
        </w:rPr>
        <w:t xml:space="preserve"> </w:t>
      </w:r>
      <w:r>
        <w:rPr>
          <w:rStyle w:val="NoneA"/>
        </w:rPr>
        <w:t>contractor</w:t>
      </w:r>
      <w:r>
        <w:rPr>
          <w:spacing w:val="-3"/>
        </w:rPr>
        <w:t xml:space="preserve"> </w:t>
      </w:r>
      <w:r>
        <w:rPr>
          <w:rStyle w:val="NoneA"/>
        </w:rPr>
        <w:t>and</w:t>
      </w:r>
      <w:r>
        <w:rPr>
          <w:spacing w:val="-3"/>
        </w:rPr>
        <w:t xml:space="preserve"> </w:t>
      </w:r>
      <w:r>
        <w:rPr>
          <w:rStyle w:val="NoneA"/>
        </w:rPr>
        <w:t>to</w:t>
      </w:r>
      <w:r>
        <w:rPr>
          <w:spacing w:val="-3"/>
        </w:rPr>
        <w:t xml:space="preserve"> </w:t>
      </w:r>
      <w:r>
        <w:rPr>
          <w:rStyle w:val="NoneA"/>
        </w:rPr>
        <w:t>forfeit</w:t>
      </w:r>
      <w:r>
        <w:rPr>
          <w:spacing w:val="-3"/>
        </w:rPr>
        <w:t xml:space="preserve"> </w:t>
      </w:r>
      <w:r>
        <w:rPr>
          <w:rStyle w:val="NoneA"/>
        </w:rPr>
        <w:t>the</w:t>
      </w:r>
      <w:r>
        <w:rPr>
          <w:spacing w:val="-3"/>
        </w:rPr>
        <w:t xml:space="preserve"> </w:t>
      </w:r>
      <w:r>
        <w:rPr>
          <w:rStyle w:val="NoneA"/>
        </w:rPr>
        <w:t>Performance</w:t>
      </w:r>
      <w:r>
        <w:rPr>
          <w:spacing w:val="-3"/>
        </w:rPr>
        <w:t xml:space="preserve"> </w:t>
      </w:r>
      <w:r>
        <w:rPr>
          <w:rStyle w:val="NoneA"/>
        </w:rPr>
        <w:t>Security</w:t>
      </w:r>
      <w:r>
        <w:rPr>
          <w:spacing w:val="-3"/>
        </w:rPr>
        <w:t xml:space="preserve"> </w:t>
      </w:r>
      <w:r>
        <w:rPr>
          <w:rStyle w:val="NoneA"/>
        </w:rPr>
        <w:t>and</w:t>
      </w:r>
      <w:r>
        <w:rPr>
          <w:spacing w:val="-3"/>
        </w:rPr>
        <w:t xml:space="preserve"> </w:t>
      </w:r>
      <w:r>
        <w:rPr>
          <w:rStyle w:val="NoneA"/>
        </w:rPr>
        <w:t>charge</w:t>
      </w:r>
      <w:r>
        <w:rPr>
          <w:spacing w:val="-3"/>
        </w:rPr>
        <w:t xml:space="preserve"> </w:t>
      </w:r>
      <w:r>
        <w:rPr>
          <w:rStyle w:val="NoneA"/>
        </w:rPr>
        <w:t>against</w:t>
      </w:r>
      <w:r>
        <w:rPr>
          <w:spacing w:val="-3"/>
        </w:rPr>
        <w:t xml:space="preserve"> </w:t>
      </w:r>
      <w:r>
        <w:rPr>
          <w:rStyle w:val="NoneA"/>
        </w:rPr>
        <w:t>the CONTRACTOR and its sureties any excess cost occasioned thereby in ﬁnishing the PROJECT, together with any liquidated damages that may be due to the PROCURING ENTITY.</w:t>
      </w:r>
    </w:p>
    <w:p w:rsidR="005148A4" w:rsidRDefault="005148A4">
      <w:pPr>
        <w:pStyle w:val="BodyA"/>
      </w:pPr>
    </w:p>
    <w:p w:rsidR="005148A4" w:rsidRDefault="00EB735E">
      <w:pPr>
        <w:pStyle w:val="BodyA"/>
      </w:pPr>
      <w:r>
        <w:rPr>
          <w:rStyle w:val="NoneA"/>
        </w:rPr>
        <w:t xml:space="preserve">Section 3. Within ﬁve (5) days from receipt of the Notice of Pre-Termination the </w:t>
      </w:r>
      <w:r>
        <w:rPr>
          <w:rStyle w:val="NoneA"/>
        </w:rPr>
        <w:lastRenderedPageBreak/>
        <w:t xml:space="preserve">CONTRACTOR, its representatives, personnel, subcontractors, and agents shall voluntarily turn over the PROJECT and the premises. For this purpose, the CONTRACTOR hereby constitutes the PROCURING ENTITY as its Attorney-In-Fact for the extrajudicial </w:t>
      </w:r>
      <w:proofErr w:type="spellStart"/>
      <w:r>
        <w:rPr>
          <w:rStyle w:val="NoneA"/>
        </w:rPr>
        <w:t>take over</w:t>
      </w:r>
      <w:proofErr w:type="spellEnd"/>
      <w:r>
        <w:rPr>
          <w:rStyle w:val="NoneA"/>
        </w:rPr>
        <w:t xml:space="preserve"> of the possession of the PROJECT. Should the CONTRACTOR prevent the </w:t>
      </w:r>
      <w:proofErr w:type="spellStart"/>
      <w:r>
        <w:rPr>
          <w:rStyle w:val="NoneA"/>
        </w:rPr>
        <w:t>take over</w:t>
      </w:r>
      <w:proofErr w:type="spellEnd"/>
      <w:r>
        <w:rPr>
          <w:rStyle w:val="NoneA"/>
        </w:rPr>
        <w:t xml:space="preserve"> of the possession of the PROJECT and the premises to the damage and prejudice of the PROCURING ENTITY,</w:t>
      </w:r>
      <w:r>
        <w:rPr>
          <w:spacing w:val="40"/>
        </w:rPr>
        <w:t xml:space="preserve"> </w:t>
      </w:r>
      <w:r>
        <w:rPr>
          <w:rStyle w:val="NoneA"/>
        </w:rPr>
        <w:t>it will be liable for payment for its continued possession at the rate of</w:t>
      </w:r>
      <w:r>
        <w:rPr>
          <w:spacing w:val="-3"/>
        </w:rPr>
        <w:t xml:space="preserve"> </w:t>
      </w:r>
      <w:r>
        <w:rPr>
          <w:rStyle w:val="NoneA"/>
        </w:rPr>
        <w:t>2%</w:t>
      </w:r>
      <w:r>
        <w:rPr>
          <w:spacing w:val="-3"/>
        </w:rPr>
        <w:t xml:space="preserve"> </w:t>
      </w:r>
      <w:r>
        <w:rPr>
          <w:rStyle w:val="NoneA"/>
        </w:rPr>
        <w:t>of the Contract Price per month, compounded monthly until full possession is restored and certiﬁed to in writing by the PROCURING ENTITY without prejudice to</w:t>
      </w:r>
      <w:r>
        <w:rPr>
          <w:spacing w:val="-3"/>
        </w:rPr>
        <w:t xml:space="preserve"> </w:t>
      </w:r>
      <w:r>
        <w:rPr>
          <w:rStyle w:val="NoneA"/>
        </w:rPr>
        <w:t>any</w:t>
      </w:r>
      <w:r>
        <w:rPr>
          <w:spacing w:val="-3"/>
        </w:rPr>
        <w:t xml:space="preserve"> </w:t>
      </w:r>
      <w:r>
        <w:rPr>
          <w:rStyle w:val="NoneA"/>
        </w:rPr>
        <w:t>other</w:t>
      </w:r>
      <w:r>
        <w:rPr>
          <w:spacing w:val="-3"/>
        </w:rPr>
        <w:t xml:space="preserve"> </w:t>
      </w:r>
      <w:r>
        <w:rPr>
          <w:rStyle w:val="NoneA"/>
        </w:rPr>
        <w:t>legal</w:t>
      </w:r>
      <w:r>
        <w:rPr>
          <w:spacing w:val="-3"/>
        </w:rPr>
        <w:t xml:space="preserve"> </w:t>
      </w:r>
      <w:r>
        <w:rPr>
          <w:rStyle w:val="NoneA"/>
        </w:rPr>
        <w:t>remedy</w:t>
      </w:r>
      <w:r>
        <w:rPr>
          <w:spacing w:val="-3"/>
        </w:rPr>
        <w:t xml:space="preserve"> </w:t>
      </w:r>
      <w:r>
        <w:rPr>
          <w:rStyle w:val="NoneA"/>
        </w:rPr>
        <w:t>that may be available.</w:t>
      </w:r>
    </w:p>
    <w:p w:rsidR="005148A4" w:rsidRDefault="005148A4">
      <w:pPr>
        <w:pStyle w:val="BodyA"/>
      </w:pPr>
    </w:p>
    <w:p w:rsidR="005148A4" w:rsidRDefault="00EB735E">
      <w:pPr>
        <w:pStyle w:val="BodyA"/>
      </w:pPr>
      <w:r>
        <w:rPr>
          <w:rStyle w:val="NoneA"/>
        </w:rPr>
        <w:t>Section 5. The</w:t>
      </w:r>
      <w:r>
        <w:rPr>
          <w:spacing w:val="-3"/>
        </w:rPr>
        <w:t xml:space="preserve"> </w:t>
      </w:r>
      <w:r>
        <w:rPr>
          <w:rStyle w:val="NoneA"/>
        </w:rPr>
        <w:t>lawful</w:t>
      </w:r>
      <w:r>
        <w:rPr>
          <w:spacing w:val="-4"/>
        </w:rPr>
        <w:t xml:space="preserve"> </w:t>
      </w:r>
      <w:r>
        <w:rPr>
          <w:rStyle w:val="NoneA"/>
        </w:rPr>
        <w:t>occupation</w:t>
      </w:r>
      <w:r>
        <w:rPr>
          <w:spacing w:val="-3"/>
        </w:rPr>
        <w:t xml:space="preserve"> </w:t>
      </w:r>
      <w:r>
        <w:rPr>
          <w:rStyle w:val="NoneA"/>
        </w:rPr>
        <w:t>by</w:t>
      </w:r>
      <w:r>
        <w:rPr>
          <w:spacing w:val="-4"/>
        </w:rPr>
        <w:t xml:space="preserve"> </w:t>
      </w:r>
      <w:r>
        <w:rPr>
          <w:rStyle w:val="NoneA"/>
        </w:rPr>
        <w:t>the</w:t>
      </w:r>
      <w:r>
        <w:rPr>
          <w:spacing w:val="-3"/>
        </w:rPr>
        <w:t xml:space="preserve"> </w:t>
      </w:r>
      <w:r>
        <w:rPr>
          <w:rStyle w:val="NoneA"/>
        </w:rPr>
        <w:t>PROCURING ENTITY</w:t>
      </w:r>
      <w:r>
        <w:rPr>
          <w:spacing w:val="-4"/>
        </w:rPr>
        <w:t xml:space="preserve"> </w:t>
      </w:r>
      <w:r>
        <w:rPr>
          <w:rStyle w:val="NoneA"/>
        </w:rPr>
        <w:t>of</w:t>
      </w:r>
      <w:r>
        <w:rPr>
          <w:spacing w:val="-3"/>
        </w:rPr>
        <w:t xml:space="preserve"> </w:t>
      </w:r>
      <w:r>
        <w:rPr>
          <w:rStyle w:val="NoneA"/>
        </w:rPr>
        <w:t>any</w:t>
      </w:r>
      <w:r>
        <w:rPr>
          <w:spacing w:val="-4"/>
        </w:rPr>
        <w:t xml:space="preserve"> </w:t>
      </w:r>
      <w:r>
        <w:rPr>
          <w:rStyle w:val="NoneA"/>
        </w:rPr>
        <w:t>portion</w:t>
      </w:r>
      <w:r>
        <w:rPr>
          <w:spacing w:val="-3"/>
        </w:rPr>
        <w:t xml:space="preserve"> </w:t>
      </w:r>
      <w:r>
        <w:rPr>
          <w:rStyle w:val="NoneA"/>
        </w:rPr>
        <w:t>of</w:t>
      </w:r>
      <w:r>
        <w:rPr>
          <w:spacing w:val="-4"/>
        </w:rPr>
        <w:t xml:space="preserve"> </w:t>
      </w:r>
      <w:r>
        <w:rPr>
          <w:rStyle w:val="NoneA"/>
        </w:rPr>
        <w:t>the</w:t>
      </w:r>
      <w:r>
        <w:rPr>
          <w:spacing w:val="-3"/>
        </w:rPr>
        <w:t xml:space="preserve"> </w:t>
      </w:r>
      <w:r>
        <w:rPr>
          <w:rStyle w:val="NoneA"/>
        </w:rPr>
        <w:t>PROJECT shall not be deemed a waiver of any of its rights nor shall it diminish any liability of the CONTRACTOR for liquidated damages for delays in other portions of the PROJECT.</w:t>
      </w:r>
    </w:p>
    <w:p w:rsidR="005148A4" w:rsidRDefault="00EB735E">
      <w:pPr>
        <w:pStyle w:val="BodyA"/>
      </w:pPr>
      <w:r>
        <w:rPr>
          <w:rStyle w:val="NoneA"/>
        </w:rPr>
        <w:t xml:space="preserve">Section 6. </w:t>
      </w:r>
      <w:r>
        <w:rPr>
          <w:i/>
          <w:iCs/>
        </w:rPr>
        <w:t>Peaceful turn-over</w:t>
      </w:r>
      <w:r>
        <w:rPr>
          <w:rStyle w:val="NoneA"/>
        </w:rPr>
        <w:t>. - The CONTRACTOR hereby commits to vacate the premises upon the termination or any pre-termination of this Contract and to peacefully turn</w:t>
      </w:r>
      <w:r>
        <w:rPr>
          <w:spacing w:val="-4"/>
        </w:rPr>
        <w:t xml:space="preserve"> </w:t>
      </w:r>
      <w:r>
        <w:rPr>
          <w:rStyle w:val="NoneA"/>
        </w:rPr>
        <w:t>over</w:t>
      </w:r>
      <w:r>
        <w:rPr>
          <w:spacing w:val="-4"/>
        </w:rPr>
        <w:t xml:space="preserve"> </w:t>
      </w:r>
      <w:r>
        <w:rPr>
          <w:rStyle w:val="NoneA"/>
        </w:rPr>
        <w:t>the</w:t>
      </w:r>
      <w:r>
        <w:rPr>
          <w:spacing w:val="-4"/>
        </w:rPr>
        <w:t xml:space="preserve"> </w:t>
      </w:r>
      <w:r>
        <w:rPr>
          <w:rStyle w:val="NoneA"/>
        </w:rPr>
        <w:t>premises</w:t>
      </w:r>
      <w:r>
        <w:rPr>
          <w:spacing w:val="-4"/>
        </w:rPr>
        <w:t xml:space="preserve"> </w:t>
      </w:r>
      <w:r>
        <w:rPr>
          <w:rStyle w:val="NoneA"/>
        </w:rPr>
        <w:t>to</w:t>
      </w:r>
      <w:r>
        <w:rPr>
          <w:spacing w:val="-4"/>
        </w:rPr>
        <w:t xml:space="preserve"> </w:t>
      </w:r>
      <w:r>
        <w:rPr>
          <w:rStyle w:val="NoneA"/>
        </w:rPr>
        <w:t>the</w:t>
      </w:r>
      <w:r>
        <w:rPr>
          <w:spacing w:val="-4"/>
        </w:rPr>
        <w:t xml:space="preserve"> </w:t>
      </w:r>
      <w:r>
        <w:rPr>
          <w:rStyle w:val="NoneA"/>
        </w:rPr>
        <w:t>incoming</w:t>
      </w:r>
      <w:r>
        <w:rPr>
          <w:spacing w:val="-4"/>
        </w:rPr>
        <w:t xml:space="preserve"> </w:t>
      </w:r>
      <w:r>
        <w:rPr>
          <w:rStyle w:val="NoneA"/>
        </w:rPr>
        <w:t>CONTRACTOR</w:t>
      </w:r>
      <w:r>
        <w:rPr>
          <w:spacing w:val="-4"/>
        </w:rPr>
        <w:t xml:space="preserve"> </w:t>
      </w:r>
      <w:r>
        <w:rPr>
          <w:rStyle w:val="NoneA"/>
        </w:rPr>
        <w:t>on</w:t>
      </w:r>
      <w:r>
        <w:rPr>
          <w:spacing w:val="-4"/>
        </w:rPr>
        <w:t xml:space="preserve"> </w:t>
      </w:r>
      <w:r>
        <w:rPr>
          <w:rStyle w:val="NoneA"/>
        </w:rPr>
        <w:t>the</w:t>
      </w:r>
      <w:r>
        <w:rPr>
          <w:spacing w:val="-4"/>
        </w:rPr>
        <w:t xml:space="preserve"> </w:t>
      </w:r>
      <w:r>
        <w:rPr>
          <w:rStyle w:val="NoneA"/>
        </w:rPr>
        <w:t>date</w:t>
      </w:r>
      <w:r>
        <w:rPr>
          <w:spacing w:val="-4"/>
        </w:rPr>
        <w:t xml:space="preserve"> </w:t>
      </w:r>
      <w:r>
        <w:rPr>
          <w:rStyle w:val="NoneA"/>
        </w:rPr>
        <w:t>and</w:t>
      </w:r>
      <w:r>
        <w:rPr>
          <w:spacing w:val="-4"/>
        </w:rPr>
        <w:t xml:space="preserve"> </w:t>
      </w:r>
      <w:r>
        <w:rPr>
          <w:rStyle w:val="NoneA"/>
        </w:rPr>
        <w:t>time</w:t>
      </w:r>
      <w:r>
        <w:rPr>
          <w:spacing w:val="-4"/>
        </w:rPr>
        <w:t xml:space="preserve"> </w:t>
      </w:r>
      <w:r>
        <w:rPr>
          <w:rStyle w:val="NoneA"/>
        </w:rPr>
        <w:t>indicated</w:t>
      </w:r>
      <w:r>
        <w:rPr>
          <w:spacing w:val="-4"/>
        </w:rPr>
        <w:t xml:space="preserve"> </w:t>
      </w:r>
      <w:r>
        <w:rPr>
          <w:rStyle w:val="NoneA"/>
        </w:rPr>
        <w:t>in</w:t>
      </w:r>
      <w:r>
        <w:rPr>
          <w:spacing w:val="-4"/>
        </w:rPr>
        <w:t xml:space="preserve"> </w:t>
      </w:r>
      <w:r>
        <w:rPr>
          <w:rStyle w:val="NoneA"/>
        </w:rPr>
        <w:t>the Notice of Turn-over.</w:t>
      </w:r>
    </w:p>
    <w:p w:rsidR="005148A4" w:rsidRDefault="00EB735E">
      <w:pPr>
        <w:pStyle w:val="BodyA"/>
      </w:pPr>
      <w:r>
        <w:rPr>
          <w:rStyle w:val="NoneA"/>
        </w:rPr>
        <w:t xml:space="preserve">Section 7. </w:t>
      </w:r>
      <w:r>
        <w:rPr>
          <w:i/>
          <w:iCs/>
        </w:rPr>
        <w:t>Damages due to the failure to turn over the premises and project</w:t>
      </w:r>
      <w:r>
        <w:rPr>
          <w:rStyle w:val="NoneA"/>
        </w:rPr>
        <w:t>. - The CONTRACTOR shall be subject to damages equivalent to at least the wages and beneﬁts</w:t>
      </w:r>
      <w:r>
        <w:rPr>
          <w:spacing w:val="-3"/>
        </w:rPr>
        <w:t xml:space="preserve"> </w:t>
      </w:r>
      <w:r>
        <w:rPr>
          <w:rStyle w:val="NoneA"/>
        </w:rPr>
        <w:t>of the personnel of the incoming CONTRACTOR but were prevented from performing their work due to the failure of the CONTRACTOR to vacate the premises and peacefully turn</w:t>
      </w:r>
      <w:r>
        <w:rPr>
          <w:spacing w:val="40"/>
        </w:rPr>
        <w:t xml:space="preserve"> </w:t>
      </w:r>
      <w:r>
        <w:rPr>
          <w:rStyle w:val="NoneA"/>
        </w:rPr>
        <w:t>over the premises. Damages shall include such</w:t>
      </w:r>
      <w:r>
        <w:rPr>
          <w:spacing w:val="-4"/>
        </w:rPr>
        <w:t xml:space="preserve"> </w:t>
      </w:r>
      <w:r>
        <w:rPr>
          <w:rStyle w:val="NoneA"/>
        </w:rPr>
        <w:t>other</w:t>
      </w:r>
      <w:r>
        <w:rPr>
          <w:spacing w:val="-4"/>
        </w:rPr>
        <w:t xml:space="preserve"> </w:t>
      </w:r>
      <w:r>
        <w:rPr>
          <w:rStyle w:val="NoneA"/>
        </w:rPr>
        <w:t>damages</w:t>
      </w:r>
      <w:r>
        <w:rPr>
          <w:spacing w:val="-4"/>
        </w:rPr>
        <w:t xml:space="preserve"> </w:t>
      </w:r>
      <w:r>
        <w:rPr>
          <w:rStyle w:val="NoneA"/>
        </w:rPr>
        <w:t>incurred</w:t>
      </w:r>
      <w:r>
        <w:rPr>
          <w:spacing w:val="-4"/>
        </w:rPr>
        <w:t xml:space="preserve"> </w:t>
      </w:r>
      <w:r>
        <w:rPr>
          <w:rStyle w:val="NoneA"/>
        </w:rPr>
        <w:t>by</w:t>
      </w:r>
      <w:r>
        <w:rPr>
          <w:spacing w:val="-4"/>
        </w:rPr>
        <w:t xml:space="preserve"> </w:t>
      </w:r>
      <w:r>
        <w:rPr>
          <w:rStyle w:val="NoneA"/>
        </w:rPr>
        <w:t>the</w:t>
      </w:r>
      <w:r>
        <w:rPr>
          <w:spacing w:val="-4"/>
        </w:rPr>
        <w:t xml:space="preserve"> </w:t>
      </w:r>
      <w:r>
        <w:rPr>
          <w:rStyle w:val="NoneA"/>
        </w:rPr>
        <w:t>PROCURING ENTITY as a result of the breach by the CONTRACTOR of this provision.</w:t>
      </w:r>
    </w:p>
    <w:p w:rsidR="005148A4" w:rsidRDefault="00EB735E">
      <w:pPr>
        <w:pStyle w:val="BodyA"/>
      </w:pPr>
      <w:r>
        <w:rPr>
          <w:rStyle w:val="NoneA"/>
        </w:rPr>
        <w:t xml:space="preserve">Section 8. </w:t>
      </w:r>
      <w:r>
        <w:rPr>
          <w:i/>
          <w:iCs/>
        </w:rPr>
        <w:t xml:space="preserve">Transfer of materials, machinery, and equipment. </w:t>
      </w:r>
      <w:r>
        <w:rPr>
          <w:rStyle w:val="NoneA"/>
        </w:rPr>
        <w:t>- The CONTRACTOR hereby designates the PROCURING ENTITY as its Attorney-in-Fact and expressly authorizes the PROCURING ENTITY to remove, take out or otherwise cause to be transferred the materials, machinery, equipment, facilities, ﬁxtures, and other movable properties belonging to the CONTRACTOR to any</w:t>
      </w:r>
      <w:r>
        <w:rPr>
          <w:spacing w:val="-4"/>
        </w:rPr>
        <w:t xml:space="preserve"> </w:t>
      </w:r>
      <w:r>
        <w:rPr>
          <w:rStyle w:val="NoneA"/>
        </w:rPr>
        <w:t>suitable</w:t>
      </w:r>
      <w:r>
        <w:rPr>
          <w:spacing w:val="-4"/>
        </w:rPr>
        <w:t xml:space="preserve"> </w:t>
      </w:r>
      <w:r>
        <w:rPr>
          <w:rStyle w:val="NoneA"/>
        </w:rPr>
        <w:t>storage</w:t>
      </w:r>
      <w:r>
        <w:rPr>
          <w:spacing w:val="-4"/>
        </w:rPr>
        <w:t xml:space="preserve"> </w:t>
      </w:r>
      <w:r>
        <w:rPr>
          <w:rStyle w:val="NoneA"/>
        </w:rPr>
        <w:t>space</w:t>
      </w:r>
      <w:r>
        <w:rPr>
          <w:spacing w:val="-4"/>
        </w:rPr>
        <w:t xml:space="preserve"> </w:t>
      </w:r>
      <w:r>
        <w:rPr>
          <w:rStyle w:val="NoneA"/>
        </w:rPr>
        <w:t>outside</w:t>
      </w:r>
      <w:r>
        <w:rPr>
          <w:spacing w:val="-4"/>
        </w:rPr>
        <w:t xml:space="preserve"> </w:t>
      </w:r>
      <w:r>
        <w:rPr>
          <w:rStyle w:val="NoneA"/>
        </w:rPr>
        <w:t>or</w:t>
      </w:r>
      <w:r>
        <w:rPr>
          <w:spacing w:val="-4"/>
        </w:rPr>
        <w:t xml:space="preserve"> </w:t>
      </w:r>
      <w:r>
        <w:rPr>
          <w:rStyle w:val="NoneA"/>
        </w:rPr>
        <w:t>within</w:t>
      </w:r>
      <w:r>
        <w:rPr>
          <w:spacing w:val="-4"/>
        </w:rPr>
        <w:t xml:space="preserve"> </w:t>
      </w:r>
      <w:r>
        <w:rPr>
          <w:rStyle w:val="NoneA"/>
        </w:rPr>
        <w:t>the</w:t>
      </w:r>
      <w:r>
        <w:rPr>
          <w:spacing w:val="-4"/>
        </w:rPr>
        <w:t xml:space="preserve"> </w:t>
      </w:r>
      <w:r>
        <w:rPr>
          <w:rStyle w:val="NoneA"/>
        </w:rPr>
        <w:t>area</w:t>
      </w:r>
      <w:r>
        <w:rPr>
          <w:spacing w:val="-4"/>
        </w:rPr>
        <w:t xml:space="preserve"> </w:t>
      </w:r>
      <w:r>
        <w:rPr>
          <w:rStyle w:val="NoneA"/>
        </w:rPr>
        <w:t>of</w:t>
      </w:r>
      <w:r>
        <w:rPr>
          <w:spacing w:val="-4"/>
        </w:rPr>
        <w:t xml:space="preserve"> </w:t>
      </w:r>
      <w:r>
        <w:rPr>
          <w:rStyle w:val="NoneA"/>
        </w:rPr>
        <w:t>responsibility,</w:t>
      </w:r>
      <w:r>
        <w:rPr>
          <w:spacing w:val="-4"/>
        </w:rPr>
        <w:t xml:space="preserve"> </w:t>
      </w:r>
      <w:r>
        <w:rPr>
          <w:rStyle w:val="NoneA"/>
        </w:rPr>
        <w:t>the cost of which shall be paid by the CONTRACTOR within ﬁve (5) days from the Notice to Transfer Properties otherwise, the CONTRACTOR shall reimburse</w:t>
      </w:r>
      <w:r>
        <w:rPr>
          <w:spacing w:val="-5"/>
        </w:rPr>
        <w:t xml:space="preserve"> </w:t>
      </w:r>
      <w:r>
        <w:rPr>
          <w:rStyle w:val="NoneA"/>
        </w:rPr>
        <w:t>to</w:t>
      </w:r>
      <w:r>
        <w:rPr>
          <w:spacing w:val="-5"/>
        </w:rPr>
        <w:t xml:space="preserve"> </w:t>
      </w:r>
      <w:r>
        <w:rPr>
          <w:rStyle w:val="NoneA"/>
        </w:rPr>
        <w:t>the</w:t>
      </w:r>
      <w:r>
        <w:rPr>
          <w:spacing w:val="-5"/>
        </w:rPr>
        <w:t xml:space="preserve"> </w:t>
      </w:r>
      <w:r>
        <w:rPr>
          <w:rStyle w:val="NoneA"/>
        </w:rPr>
        <w:t>PROCURING ENTITY</w:t>
      </w:r>
      <w:r>
        <w:rPr>
          <w:spacing w:val="-5"/>
        </w:rPr>
        <w:t xml:space="preserve"> </w:t>
      </w:r>
      <w:r>
        <w:rPr>
          <w:rStyle w:val="NoneA"/>
        </w:rPr>
        <w:t>the expenses for the transfer and storage with a penalty interest of 2% per month, compounded monthly until fully paid. This will likewise be deducted from the Guarantee Bond, cash deposit or any amount due for the</w:t>
      </w:r>
      <w:r>
        <w:rPr>
          <w:spacing w:val="40"/>
        </w:rPr>
        <w:t xml:space="preserve"> </w:t>
      </w:r>
      <w:r>
        <w:rPr>
          <w:rStyle w:val="NoneA"/>
        </w:rPr>
        <w:t>CONTRACTOR.</w:t>
      </w:r>
    </w:p>
    <w:p w:rsidR="005148A4" w:rsidRDefault="00EB735E">
      <w:pPr>
        <w:pStyle w:val="BodyA"/>
      </w:pPr>
      <w:r>
        <w:rPr>
          <w:rStyle w:val="NoneA"/>
        </w:rPr>
        <w:t xml:space="preserve">Section 9. </w:t>
      </w:r>
      <w:r>
        <w:rPr>
          <w:i/>
          <w:iCs/>
        </w:rPr>
        <w:t xml:space="preserve">Other legal remedies. </w:t>
      </w:r>
      <w:r>
        <w:rPr>
          <w:rStyle w:val="NoneA"/>
        </w:rPr>
        <w:t xml:space="preserve">- The claim for damages and deductions mentioned in this Article the right of the PROCURING ENTITY to take over the PROJECT shall be without prejudice to any other legal remedies the PROCURING ENTITY may </w:t>
      </w:r>
      <w:r>
        <w:rPr>
          <w:rStyle w:val="NoneA"/>
        </w:rPr>
        <w:lastRenderedPageBreak/>
        <w:t>have</w:t>
      </w:r>
      <w:r>
        <w:rPr>
          <w:spacing w:val="-4"/>
        </w:rPr>
        <w:t xml:space="preserve"> </w:t>
      </w:r>
      <w:r>
        <w:rPr>
          <w:rStyle w:val="NoneA"/>
        </w:rPr>
        <w:t>under</w:t>
      </w:r>
      <w:r>
        <w:rPr>
          <w:spacing w:val="-4"/>
        </w:rPr>
        <w:t xml:space="preserve"> </w:t>
      </w:r>
      <w:r>
        <w:rPr>
          <w:rStyle w:val="NoneA"/>
        </w:rPr>
        <w:t>existing</w:t>
      </w:r>
      <w:r>
        <w:rPr>
          <w:spacing w:val="-4"/>
        </w:rPr>
        <w:t xml:space="preserve"> </w:t>
      </w:r>
      <w:r>
        <w:rPr>
          <w:rStyle w:val="NoneA"/>
        </w:rPr>
        <w:t>laws,</w:t>
      </w:r>
      <w:r>
        <w:rPr>
          <w:spacing w:val="-4"/>
        </w:rPr>
        <w:t xml:space="preserve"> </w:t>
      </w:r>
      <w:r>
        <w:rPr>
          <w:rStyle w:val="NoneA"/>
        </w:rPr>
        <w:t>rules, regulations and issuances.</w:t>
      </w:r>
    </w:p>
    <w:p w:rsidR="005148A4" w:rsidRDefault="00EB735E">
      <w:pPr>
        <w:pStyle w:val="Subtitle"/>
      </w:pPr>
      <w:bookmarkStart w:id="20" w:name="_Toc20"/>
      <w:r>
        <w:rPr>
          <w:rStyle w:val="NoneA"/>
          <w:rFonts w:eastAsia="Arial Unicode MS" w:cs="Arial Unicode MS"/>
        </w:rPr>
        <w:t>ARTICLE 22 - Liquidated Damages</w:t>
      </w:r>
      <w:bookmarkEnd w:id="20"/>
    </w:p>
    <w:p w:rsidR="005148A4" w:rsidRDefault="00EB735E">
      <w:pPr>
        <w:pStyle w:val="BodyA"/>
      </w:pPr>
      <w:r>
        <w:rPr>
          <w:rStyle w:val="NoneA"/>
        </w:rPr>
        <w:t>Section 1. Should delay or default be due to any cause attributable to the CONTRACTOR or</w:t>
      </w:r>
      <w:r>
        <w:rPr>
          <w:spacing w:val="-7"/>
        </w:rPr>
        <w:t xml:space="preserve"> </w:t>
      </w:r>
      <w:r>
        <w:rPr>
          <w:rStyle w:val="NoneA"/>
        </w:rPr>
        <w:t>without</w:t>
      </w:r>
      <w:r>
        <w:rPr>
          <w:spacing w:val="-7"/>
        </w:rPr>
        <w:t xml:space="preserve"> </w:t>
      </w:r>
      <w:r>
        <w:rPr>
          <w:rStyle w:val="NoneA"/>
        </w:rPr>
        <w:t>the</w:t>
      </w:r>
      <w:r>
        <w:rPr>
          <w:spacing w:val="-7"/>
        </w:rPr>
        <w:t xml:space="preserve"> </w:t>
      </w:r>
      <w:r>
        <w:rPr>
          <w:rStyle w:val="NoneA"/>
        </w:rPr>
        <w:t>fault</w:t>
      </w:r>
      <w:r>
        <w:rPr>
          <w:spacing w:val="-7"/>
        </w:rPr>
        <w:t xml:space="preserve"> </w:t>
      </w:r>
      <w:r>
        <w:rPr>
          <w:rStyle w:val="NoneA"/>
        </w:rPr>
        <w:t>of</w:t>
      </w:r>
      <w:r>
        <w:rPr>
          <w:spacing w:val="-7"/>
        </w:rPr>
        <w:t xml:space="preserve"> </w:t>
      </w:r>
      <w:r>
        <w:rPr>
          <w:rStyle w:val="NoneA"/>
        </w:rPr>
        <w:t>the</w:t>
      </w:r>
      <w:r>
        <w:rPr>
          <w:spacing w:val="-7"/>
        </w:rPr>
        <w:t xml:space="preserve"> </w:t>
      </w:r>
      <w:r>
        <w:rPr>
          <w:rStyle w:val="NoneA"/>
        </w:rPr>
        <w:t>PROCURING ENTITY,</w:t>
      </w:r>
      <w:r>
        <w:rPr>
          <w:spacing w:val="-7"/>
        </w:rPr>
        <w:t xml:space="preserve"> </w:t>
      </w:r>
      <w:r>
        <w:rPr>
          <w:rStyle w:val="NoneA"/>
        </w:rPr>
        <w:t>the</w:t>
      </w:r>
      <w:r>
        <w:rPr>
          <w:spacing w:val="-7"/>
        </w:rPr>
        <w:t xml:space="preserve"> </w:t>
      </w:r>
      <w:r>
        <w:rPr>
          <w:rStyle w:val="NoneA"/>
        </w:rPr>
        <w:t>CONTRACTOR</w:t>
      </w:r>
      <w:r>
        <w:rPr>
          <w:spacing w:val="-7"/>
        </w:rPr>
        <w:t xml:space="preserve"> </w:t>
      </w:r>
      <w:r>
        <w:rPr>
          <w:rStyle w:val="NoneA"/>
        </w:rPr>
        <w:t>shall</w:t>
      </w:r>
      <w:r>
        <w:rPr>
          <w:spacing w:val="-7"/>
        </w:rPr>
        <w:t xml:space="preserve"> </w:t>
      </w:r>
      <w:r>
        <w:rPr>
          <w:rStyle w:val="NoneA"/>
        </w:rPr>
        <w:t>be</w:t>
      </w:r>
      <w:r>
        <w:rPr>
          <w:spacing w:val="-7"/>
        </w:rPr>
        <w:t xml:space="preserve"> </w:t>
      </w:r>
      <w:r>
        <w:rPr>
          <w:rStyle w:val="NoneA"/>
        </w:rPr>
        <w:t>liable to pay liquidated damages in accordance with the provisions of Annex “E” and other pertinent provisions of RA 9184 and its Implementing Rules and Regulations.</w:t>
      </w:r>
    </w:p>
    <w:p w:rsidR="005148A4" w:rsidRDefault="00EB735E">
      <w:pPr>
        <w:pStyle w:val="BodyA"/>
      </w:pPr>
      <w:r>
        <w:rPr>
          <w:rStyle w:val="NoneA"/>
        </w:rPr>
        <w:t>Section 2. Should it be rendered necessary for the PROCURING ENTITY to institute any proceeding to</w:t>
      </w:r>
      <w:r>
        <w:rPr>
          <w:spacing w:val="-3"/>
        </w:rPr>
        <w:t xml:space="preserve"> </w:t>
      </w:r>
      <w:r>
        <w:rPr>
          <w:rStyle w:val="NoneA"/>
        </w:rPr>
        <w:t>enforce</w:t>
      </w:r>
      <w:r>
        <w:rPr>
          <w:spacing w:val="-3"/>
        </w:rPr>
        <w:t xml:space="preserve"> </w:t>
      </w:r>
      <w:r>
        <w:rPr>
          <w:rStyle w:val="NoneA"/>
        </w:rPr>
        <w:t>any</w:t>
      </w:r>
      <w:r>
        <w:rPr>
          <w:spacing w:val="-3"/>
        </w:rPr>
        <w:t xml:space="preserve"> </w:t>
      </w:r>
      <w:r>
        <w:rPr>
          <w:rStyle w:val="NoneA"/>
        </w:rPr>
        <w:t>provision</w:t>
      </w:r>
      <w:r>
        <w:rPr>
          <w:spacing w:val="-3"/>
        </w:rPr>
        <w:t xml:space="preserve"> </w:t>
      </w:r>
      <w:r>
        <w:rPr>
          <w:rStyle w:val="NoneA"/>
        </w:rPr>
        <w:t>of</w:t>
      </w:r>
      <w:r>
        <w:rPr>
          <w:spacing w:val="-3"/>
        </w:rPr>
        <w:t xml:space="preserve"> </w:t>
      </w:r>
      <w:r>
        <w:rPr>
          <w:rStyle w:val="NoneA"/>
        </w:rPr>
        <w:t>this</w:t>
      </w:r>
      <w:r>
        <w:rPr>
          <w:spacing w:val="-3"/>
        </w:rPr>
        <w:t xml:space="preserve"> </w:t>
      </w:r>
      <w:r>
        <w:rPr>
          <w:rStyle w:val="NoneA"/>
        </w:rPr>
        <w:t>Contract</w:t>
      </w:r>
      <w:r>
        <w:rPr>
          <w:spacing w:val="-3"/>
        </w:rPr>
        <w:t xml:space="preserve"> </w:t>
      </w:r>
      <w:r>
        <w:rPr>
          <w:rStyle w:val="NoneA"/>
        </w:rPr>
        <w:t>other</w:t>
      </w:r>
      <w:r>
        <w:rPr>
          <w:spacing w:val="-3"/>
        </w:rPr>
        <w:t xml:space="preserve"> </w:t>
      </w:r>
      <w:r>
        <w:rPr>
          <w:rStyle w:val="NoneA"/>
        </w:rPr>
        <w:t>than</w:t>
      </w:r>
      <w:r>
        <w:rPr>
          <w:spacing w:val="-3"/>
        </w:rPr>
        <w:t xml:space="preserve"> </w:t>
      </w:r>
      <w:r>
        <w:rPr>
          <w:rStyle w:val="NoneA"/>
        </w:rPr>
        <w:t>those</w:t>
      </w:r>
      <w:r>
        <w:rPr>
          <w:spacing w:val="-3"/>
        </w:rPr>
        <w:t xml:space="preserve"> </w:t>
      </w:r>
      <w:r>
        <w:rPr>
          <w:rStyle w:val="NoneA"/>
        </w:rPr>
        <w:t>included</w:t>
      </w:r>
      <w:r>
        <w:rPr>
          <w:spacing w:val="-3"/>
        </w:rPr>
        <w:t xml:space="preserve"> </w:t>
      </w:r>
      <w:r>
        <w:rPr>
          <w:rStyle w:val="NoneA"/>
        </w:rPr>
        <w:t>in</w:t>
      </w:r>
      <w:r>
        <w:rPr>
          <w:spacing w:val="-3"/>
        </w:rPr>
        <w:t xml:space="preserve"> </w:t>
      </w:r>
      <w:r>
        <w:rPr>
          <w:rStyle w:val="NoneA"/>
        </w:rPr>
        <w:t>Section</w:t>
      </w:r>
      <w:r>
        <w:rPr>
          <w:spacing w:val="-3"/>
        </w:rPr>
        <w:t xml:space="preserve"> </w:t>
      </w:r>
      <w:r>
        <w:rPr>
          <w:rStyle w:val="NoneA"/>
        </w:rPr>
        <w:t>1 of this Article,</w:t>
      </w:r>
      <w:r>
        <w:rPr>
          <w:spacing w:val="40"/>
        </w:rPr>
        <w:t xml:space="preserve"> </w:t>
      </w:r>
      <w:r>
        <w:rPr>
          <w:rStyle w:val="NoneA"/>
        </w:rPr>
        <w:t>the CONTRACTOR shall be liable to pay ten percent (10%) of the Contract Price as liquidated damages or those provided for under Section 1 of this Article,</w:t>
      </w:r>
      <w:r>
        <w:rPr>
          <w:spacing w:val="-3"/>
        </w:rPr>
        <w:t xml:space="preserve"> </w:t>
      </w:r>
      <w:r>
        <w:rPr>
          <w:rStyle w:val="NoneA"/>
        </w:rPr>
        <w:t>whichever</w:t>
      </w:r>
      <w:r>
        <w:rPr>
          <w:spacing w:val="40"/>
        </w:rPr>
        <w:t xml:space="preserve"> </w:t>
      </w:r>
      <w:r>
        <w:rPr>
          <w:rStyle w:val="NoneA"/>
        </w:rPr>
        <w:t>is higher.</w:t>
      </w:r>
    </w:p>
    <w:p w:rsidR="005148A4" w:rsidRDefault="00EB735E">
      <w:pPr>
        <w:pStyle w:val="BodyA"/>
      </w:pPr>
      <w:r>
        <w:rPr>
          <w:rStyle w:val="NoneA"/>
        </w:rPr>
        <w:t>Section 3. The PROCURING ENTITY shall have the option to demand the payment of, or deduct such damages from</w:t>
      </w:r>
      <w:r>
        <w:rPr>
          <w:spacing w:val="-5"/>
        </w:rPr>
        <w:t xml:space="preserve"> </w:t>
      </w:r>
      <w:r>
        <w:rPr>
          <w:rStyle w:val="NoneA"/>
        </w:rPr>
        <w:t>any</w:t>
      </w:r>
      <w:r>
        <w:rPr>
          <w:spacing w:val="-5"/>
        </w:rPr>
        <w:t xml:space="preserve"> </w:t>
      </w:r>
      <w:r>
        <w:rPr>
          <w:rStyle w:val="NoneA"/>
        </w:rPr>
        <w:t>amounts</w:t>
      </w:r>
      <w:r>
        <w:rPr>
          <w:spacing w:val="-5"/>
        </w:rPr>
        <w:t xml:space="preserve"> </w:t>
      </w:r>
      <w:r>
        <w:rPr>
          <w:rStyle w:val="NoneA"/>
        </w:rPr>
        <w:t>due</w:t>
      </w:r>
      <w:r>
        <w:rPr>
          <w:spacing w:val="-5"/>
        </w:rPr>
        <w:t xml:space="preserve"> </w:t>
      </w:r>
      <w:r>
        <w:rPr>
          <w:rStyle w:val="NoneA"/>
        </w:rPr>
        <w:t>to</w:t>
      </w:r>
      <w:r>
        <w:rPr>
          <w:spacing w:val="-5"/>
        </w:rPr>
        <w:t xml:space="preserve"> </w:t>
      </w:r>
      <w:r>
        <w:rPr>
          <w:rStyle w:val="NoneA"/>
        </w:rPr>
        <w:t>the</w:t>
      </w:r>
      <w:r>
        <w:rPr>
          <w:spacing w:val="-5"/>
        </w:rPr>
        <w:t xml:space="preserve"> </w:t>
      </w:r>
      <w:r>
        <w:rPr>
          <w:rStyle w:val="NoneA"/>
        </w:rPr>
        <w:t>CONTRACTOR.</w:t>
      </w:r>
      <w:r>
        <w:rPr>
          <w:spacing w:val="-5"/>
        </w:rPr>
        <w:t xml:space="preserve"> </w:t>
      </w:r>
      <w:r>
        <w:rPr>
          <w:rStyle w:val="NoneA"/>
        </w:rPr>
        <w:t>The</w:t>
      </w:r>
      <w:r>
        <w:rPr>
          <w:spacing w:val="-5"/>
        </w:rPr>
        <w:t xml:space="preserve"> </w:t>
      </w:r>
      <w:r>
        <w:rPr>
          <w:rStyle w:val="NoneA"/>
        </w:rPr>
        <w:t>PROCURING ENTITY</w:t>
      </w:r>
      <w:r>
        <w:rPr>
          <w:spacing w:val="-5"/>
        </w:rPr>
        <w:t xml:space="preserve"> </w:t>
      </w:r>
      <w:r>
        <w:rPr>
          <w:rStyle w:val="NoneA"/>
        </w:rPr>
        <w:t>shall notify the CONTRACTOR in writing of its choice of action under this section.</w:t>
      </w:r>
    </w:p>
    <w:p w:rsidR="005148A4" w:rsidRDefault="00EB735E">
      <w:pPr>
        <w:pStyle w:val="BodyA"/>
      </w:pPr>
      <w:r>
        <w:rPr>
          <w:rStyle w:val="NoneA"/>
        </w:rPr>
        <w:t xml:space="preserve">Section 4. Liquidated damages shall likewise be charged to the CONTRACTOR in addition to the option to take over the PROJECT, in any, but not limited to the following </w:t>
      </w:r>
      <w:r>
        <w:rPr>
          <w:spacing w:val="-2"/>
        </w:rPr>
        <w:t>cases:</w:t>
      </w:r>
    </w:p>
    <w:p w:rsidR="005148A4" w:rsidRDefault="00EB735E">
      <w:pPr>
        <w:pStyle w:val="Default"/>
        <w:widowControl w:val="0"/>
        <w:numPr>
          <w:ilvl w:val="0"/>
          <w:numId w:val="27"/>
        </w:numPr>
        <w:spacing w:before="0"/>
        <w:ind w:right="110"/>
        <w:jc w:val="both"/>
        <w:rPr>
          <w:rFonts w:ascii="Spectral Regular" w:hAnsi="Spectral Regular"/>
        </w:rPr>
      </w:pPr>
      <w:r>
        <w:rPr>
          <w:rFonts w:ascii="Spectral Regular" w:hAnsi="Spectral Regular"/>
        </w:rPr>
        <w:t>The progress of the work is delayed by at least ten percent (10%) of the contract period plus any extension duly granted.</w:t>
      </w:r>
    </w:p>
    <w:p w:rsidR="005148A4" w:rsidRDefault="00EB735E">
      <w:pPr>
        <w:pStyle w:val="Default"/>
        <w:widowControl w:val="0"/>
        <w:numPr>
          <w:ilvl w:val="0"/>
          <w:numId w:val="27"/>
        </w:numPr>
        <w:spacing w:before="0"/>
        <w:ind w:right="106"/>
        <w:jc w:val="both"/>
        <w:rPr>
          <w:rFonts w:ascii="Spectral Regular" w:hAnsi="Spectral Regular"/>
        </w:rPr>
      </w:pPr>
      <w:r>
        <w:rPr>
          <w:rFonts w:ascii="Spectral Regular" w:hAnsi="Spectral Regular"/>
        </w:rPr>
        <w:t>The progress of the work does not conform with the work schedule such that from all indications the CONTRACTOR may not be able to complete the PROJECT within the stipulated time.</w:t>
      </w:r>
    </w:p>
    <w:p w:rsidR="005148A4" w:rsidRDefault="00EB735E">
      <w:pPr>
        <w:pStyle w:val="Default"/>
        <w:widowControl w:val="0"/>
        <w:numPr>
          <w:ilvl w:val="0"/>
          <w:numId w:val="28"/>
        </w:numPr>
        <w:spacing w:before="0"/>
        <w:rPr>
          <w:rFonts w:ascii="Spectral Regular" w:hAnsi="Spectral Regular"/>
        </w:rPr>
      </w:pPr>
      <w:r>
        <w:rPr>
          <w:rFonts w:ascii="Spectral Regular" w:hAnsi="Spectral Regular"/>
        </w:rPr>
        <w:t>The construction is not in accordance with the approved plans and speciﬁcations.</w:t>
      </w:r>
    </w:p>
    <w:p w:rsidR="005148A4" w:rsidRDefault="00EB735E">
      <w:pPr>
        <w:pStyle w:val="Default"/>
        <w:widowControl w:val="0"/>
        <w:numPr>
          <w:ilvl w:val="0"/>
          <w:numId w:val="27"/>
        </w:numPr>
        <w:spacing w:before="0"/>
        <w:ind w:right="110"/>
        <w:jc w:val="both"/>
        <w:rPr>
          <w:rFonts w:ascii="Spectral Regular" w:hAnsi="Spectral Regular"/>
        </w:rPr>
      </w:pPr>
      <w:r>
        <w:rPr>
          <w:rFonts w:ascii="Spectral Regular" w:hAnsi="Spectral Regular"/>
        </w:rPr>
        <w:t>The CONTRACTOR fails, refuses, or neglects to supply and provide the required tools, materials, supplies, equipment, facilities, and labor-workmen in accordance with the schedule.</w:t>
      </w:r>
    </w:p>
    <w:p w:rsidR="005148A4" w:rsidRDefault="00EB735E">
      <w:pPr>
        <w:pStyle w:val="Default"/>
        <w:widowControl w:val="0"/>
        <w:numPr>
          <w:ilvl w:val="0"/>
          <w:numId w:val="28"/>
        </w:numPr>
        <w:spacing w:before="0"/>
        <w:rPr>
          <w:rFonts w:ascii="Spectral Regular" w:hAnsi="Spectral Regular"/>
        </w:rPr>
      </w:pPr>
      <w:r>
        <w:rPr>
          <w:rFonts w:ascii="Spectral Regular" w:hAnsi="Spectral Regular"/>
        </w:rPr>
        <w:t>The CONTRACTOR abandons or fails to continue with the construction.</w:t>
      </w:r>
    </w:p>
    <w:p w:rsidR="005148A4" w:rsidRDefault="00EB735E">
      <w:pPr>
        <w:pStyle w:val="Default"/>
        <w:widowControl w:val="0"/>
        <w:numPr>
          <w:ilvl w:val="0"/>
          <w:numId w:val="27"/>
        </w:numPr>
        <w:spacing w:before="0"/>
        <w:ind w:right="114"/>
        <w:jc w:val="both"/>
        <w:rPr>
          <w:rFonts w:ascii="Spectral Regular" w:hAnsi="Spectral Regular"/>
        </w:rPr>
      </w:pPr>
      <w:r>
        <w:rPr>
          <w:rFonts w:ascii="Spectral Regular" w:hAnsi="Spectral Regular"/>
        </w:rPr>
        <w:t>The CONTRACTOR subcontracts or assigns to third parties this Contract or any part thereof without the written consent of the PROCURING ENTITY.</w:t>
      </w:r>
    </w:p>
    <w:p w:rsidR="005148A4" w:rsidRDefault="00EB735E">
      <w:pPr>
        <w:pStyle w:val="Default"/>
        <w:widowControl w:val="0"/>
        <w:numPr>
          <w:ilvl w:val="0"/>
          <w:numId w:val="27"/>
        </w:numPr>
        <w:spacing w:before="0"/>
        <w:ind w:right="101"/>
        <w:jc w:val="both"/>
        <w:rPr>
          <w:rFonts w:ascii="Spectral Regular" w:hAnsi="Spectral Regular"/>
        </w:rPr>
      </w:pPr>
      <w:r>
        <w:rPr>
          <w:rFonts w:ascii="Spectral Regular" w:hAnsi="Spectral Regular"/>
        </w:rPr>
        <w:t>The CONTRACTOR violates any of the conditions, warranties, or covenants under this Contract.</w:t>
      </w:r>
    </w:p>
    <w:p w:rsidR="005148A4" w:rsidRDefault="00EB735E">
      <w:pPr>
        <w:pStyle w:val="Subtitle"/>
      </w:pPr>
      <w:bookmarkStart w:id="21" w:name="_Toc21"/>
      <w:r>
        <w:rPr>
          <w:rStyle w:val="NoneA"/>
          <w:rFonts w:eastAsia="Arial Unicode MS" w:cs="Arial Unicode MS"/>
        </w:rPr>
        <w:t>ARTICLE 23 - Attorney’s Fees</w:t>
      </w:r>
      <w:bookmarkEnd w:id="21"/>
    </w:p>
    <w:p w:rsidR="005148A4" w:rsidRDefault="00EB735E">
      <w:pPr>
        <w:pStyle w:val="BodyA"/>
      </w:pPr>
      <w:r>
        <w:rPr>
          <w:rStyle w:val="NoneA"/>
        </w:rPr>
        <w:t>Section</w:t>
      </w:r>
      <w:r>
        <w:rPr>
          <w:spacing w:val="39"/>
        </w:rPr>
        <w:t xml:space="preserve"> </w:t>
      </w:r>
      <w:r>
        <w:rPr>
          <w:rStyle w:val="NoneA"/>
        </w:rPr>
        <w:t>1.</w:t>
      </w:r>
      <w:r>
        <w:rPr>
          <w:spacing w:val="39"/>
        </w:rPr>
        <w:t xml:space="preserve"> </w:t>
      </w:r>
      <w:r>
        <w:rPr>
          <w:rStyle w:val="NoneA"/>
        </w:rPr>
        <w:t>Attorney’s</w:t>
      </w:r>
      <w:r>
        <w:rPr>
          <w:spacing w:val="39"/>
        </w:rPr>
        <w:t xml:space="preserve"> </w:t>
      </w:r>
      <w:r>
        <w:rPr>
          <w:rStyle w:val="NoneA"/>
        </w:rPr>
        <w:t>fees</w:t>
      </w:r>
      <w:r>
        <w:rPr>
          <w:spacing w:val="39"/>
        </w:rPr>
        <w:t xml:space="preserve"> </w:t>
      </w:r>
      <w:r>
        <w:rPr>
          <w:rStyle w:val="NoneA"/>
        </w:rPr>
        <w:t>shall</w:t>
      </w:r>
      <w:r>
        <w:rPr>
          <w:spacing w:val="39"/>
        </w:rPr>
        <w:t xml:space="preserve"> </w:t>
      </w:r>
      <w:r>
        <w:rPr>
          <w:rStyle w:val="NoneA"/>
        </w:rPr>
        <w:t>be</w:t>
      </w:r>
      <w:r>
        <w:rPr>
          <w:spacing w:val="39"/>
        </w:rPr>
        <w:t xml:space="preserve"> </w:t>
      </w:r>
      <w:r>
        <w:rPr>
          <w:rStyle w:val="NoneA"/>
        </w:rPr>
        <w:t>charged</w:t>
      </w:r>
      <w:r>
        <w:rPr>
          <w:spacing w:val="39"/>
        </w:rPr>
        <w:t xml:space="preserve"> </w:t>
      </w:r>
      <w:r>
        <w:rPr>
          <w:rStyle w:val="NoneA"/>
        </w:rPr>
        <w:t>against</w:t>
      </w:r>
      <w:r>
        <w:rPr>
          <w:spacing w:val="39"/>
        </w:rPr>
        <w:t xml:space="preserve"> </w:t>
      </w:r>
      <w:r>
        <w:rPr>
          <w:rStyle w:val="NoneA"/>
        </w:rPr>
        <w:t>the</w:t>
      </w:r>
      <w:r>
        <w:rPr>
          <w:spacing w:val="39"/>
        </w:rPr>
        <w:t xml:space="preserve"> </w:t>
      </w:r>
      <w:r>
        <w:rPr>
          <w:rStyle w:val="NoneA"/>
        </w:rPr>
        <w:t>CONTRACTOR</w:t>
      </w:r>
      <w:r>
        <w:rPr>
          <w:spacing w:val="39"/>
        </w:rPr>
        <w:t xml:space="preserve"> </w:t>
      </w:r>
      <w:r>
        <w:rPr>
          <w:rStyle w:val="NoneA"/>
        </w:rPr>
        <w:t>in</w:t>
      </w:r>
      <w:r>
        <w:rPr>
          <w:spacing w:val="24"/>
        </w:rPr>
        <w:t xml:space="preserve"> </w:t>
      </w:r>
      <w:r>
        <w:rPr>
          <w:rStyle w:val="NoneA"/>
        </w:rPr>
        <w:t>case</w:t>
      </w:r>
      <w:r>
        <w:rPr>
          <w:spacing w:val="24"/>
        </w:rPr>
        <w:t xml:space="preserve"> </w:t>
      </w:r>
      <w:r>
        <w:rPr>
          <w:rStyle w:val="NoneA"/>
        </w:rPr>
        <w:t>the PROCURING ENTITY</w:t>
      </w:r>
      <w:r>
        <w:rPr>
          <w:spacing w:val="26"/>
        </w:rPr>
        <w:t xml:space="preserve"> </w:t>
      </w:r>
      <w:r>
        <w:rPr>
          <w:rStyle w:val="NoneA"/>
        </w:rPr>
        <w:t>elects</w:t>
      </w:r>
      <w:r>
        <w:rPr>
          <w:spacing w:val="28"/>
        </w:rPr>
        <w:t xml:space="preserve"> </w:t>
      </w:r>
      <w:r>
        <w:rPr>
          <w:rStyle w:val="NoneA"/>
        </w:rPr>
        <w:t>to</w:t>
      </w:r>
      <w:r>
        <w:rPr>
          <w:spacing w:val="26"/>
        </w:rPr>
        <w:t xml:space="preserve"> </w:t>
      </w:r>
      <w:r>
        <w:rPr>
          <w:rStyle w:val="NoneA"/>
        </w:rPr>
        <w:t>ﬁle</w:t>
      </w:r>
      <w:r>
        <w:rPr>
          <w:spacing w:val="13"/>
        </w:rPr>
        <w:t xml:space="preserve"> </w:t>
      </w:r>
      <w:r>
        <w:rPr>
          <w:rStyle w:val="NoneA"/>
        </w:rPr>
        <w:t>a</w:t>
      </w:r>
      <w:r>
        <w:rPr>
          <w:spacing w:val="13"/>
        </w:rPr>
        <w:t xml:space="preserve"> </w:t>
      </w:r>
      <w:r>
        <w:rPr>
          <w:rStyle w:val="NoneA"/>
        </w:rPr>
        <w:t>complaint</w:t>
      </w:r>
      <w:r>
        <w:rPr>
          <w:spacing w:val="13"/>
        </w:rPr>
        <w:t xml:space="preserve"> </w:t>
      </w:r>
      <w:r>
        <w:rPr>
          <w:rStyle w:val="NoneA"/>
        </w:rPr>
        <w:t>against</w:t>
      </w:r>
      <w:r>
        <w:rPr>
          <w:spacing w:val="13"/>
        </w:rPr>
        <w:t xml:space="preserve"> </w:t>
      </w:r>
      <w:r>
        <w:rPr>
          <w:rStyle w:val="NoneA"/>
        </w:rPr>
        <w:t>the</w:t>
      </w:r>
      <w:r>
        <w:rPr>
          <w:spacing w:val="13"/>
        </w:rPr>
        <w:t xml:space="preserve"> </w:t>
      </w:r>
      <w:r>
        <w:rPr>
          <w:rStyle w:val="NoneA"/>
        </w:rPr>
        <w:t>CONTRACTOR</w:t>
      </w:r>
      <w:r>
        <w:rPr>
          <w:spacing w:val="13"/>
        </w:rPr>
        <w:t xml:space="preserve"> </w:t>
      </w:r>
      <w:r>
        <w:rPr>
          <w:rStyle w:val="NoneA"/>
        </w:rPr>
        <w:lastRenderedPageBreak/>
        <w:t>for</w:t>
      </w:r>
      <w:r>
        <w:rPr>
          <w:spacing w:val="13"/>
        </w:rPr>
        <w:t xml:space="preserve"> </w:t>
      </w:r>
      <w:r>
        <w:rPr>
          <w:rStyle w:val="NoneA"/>
        </w:rPr>
        <w:t>any</w:t>
      </w:r>
      <w:r>
        <w:rPr>
          <w:spacing w:val="13"/>
        </w:rPr>
        <w:t xml:space="preserve"> </w:t>
      </w:r>
      <w:r>
        <w:rPr>
          <w:rStyle w:val="NoneA"/>
        </w:rPr>
        <w:t>cause</w:t>
      </w:r>
      <w:r>
        <w:rPr>
          <w:spacing w:val="13"/>
        </w:rPr>
        <w:t xml:space="preserve"> </w:t>
      </w:r>
      <w:r>
        <w:rPr>
          <w:rStyle w:val="NoneA"/>
        </w:rPr>
        <w:t>of</w:t>
      </w:r>
      <w:r>
        <w:rPr>
          <w:spacing w:val="14"/>
        </w:rPr>
        <w:t xml:space="preserve"> </w:t>
      </w:r>
      <w:r>
        <w:rPr>
          <w:spacing w:val="-2"/>
        </w:rPr>
        <w:t xml:space="preserve">action </w:t>
      </w:r>
      <w:r>
        <w:rPr>
          <w:rStyle w:val="NoneA"/>
        </w:rPr>
        <w:t>arising</w:t>
      </w:r>
      <w:r>
        <w:rPr>
          <w:spacing w:val="70"/>
        </w:rPr>
        <w:t xml:space="preserve"> </w:t>
      </w:r>
      <w:r>
        <w:rPr>
          <w:rStyle w:val="NoneA"/>
        </w:rPr>
        <w:t>out</w:t>
      </w:r>
      <w:r>
        <w:rPr>
          <w:spacing w:val="70"/>
        </w:rPr>
        <w:t xml:space="preserve"> </w:t>
      </w:r>
      <w:r>
        <w:rPr>
          <w:rStyle w:val="NoneA"/>
        </w:rPr>
        <w:t>of</w:t>
      </w:r>
      <w:r>
        <w:rPr>
          <w:spacing w:val="70"/>
        </w:rPr>
        <w:t xml:space="preserve"> </w:t>
      </w:r>
      <w:r>
        <w:rPr>
          <w:rStyle w:val="NoneA"/>
        </w:rPr>
        <w:t>this</w:t>
      </w:r>
      <w:r>
        <w:rPr>
          <w:spacing w:val="70"/>
        </w:rPr>
        <w:t xml:space="preserve"> </w:t>
      </w:r>
      <w:r>
        <w:rPr>
          <w:rStyle w:val="NoneA"/>
        </w:rPr>
        <w:t>Contract,</w:t>
      </w:r>
      <w:r>
        <w:rPr>
          <w:spacing w:val="40"/>
        </w:rPr>
        <w:t xml:space="preserve"> </w:t>
      </w:r>
      <w:r>
        <w:rPr>
          <w:rStyle w:val="NoneA"/>
        </w:rPr>
        <w:t>the</w:t>
      </w:r>
      <w:r>
        <w:rPr>
          <w:spacing w:val="40"/>
        </w:rPr>
        <w:t xml:space="preserve"> </w:t>
      </w:r>
      <w:r>
        <w:rPr>
          <w:rStyle w:val="NoneA"/>
        </w:rPr>
        <w:t>breach</w:t>
      </w:r>
      <w:r>
        <w:rPr>
          <w:spacing w:val="40"/>
        </w:rPr>
        <w:t xml:space="preserve"> </w:t>
      </w:r>
      <w:r>
        <w:rPr>
          <w:rStyle w:val="NoneA"/>
        </w:rPr>
        <w:t>of</w:t>
      </w:r>
      <w:r>
        <w:rPr>
          <w:spacing w:val="40"/>
        </w:rPr>
        <w:t xml:space="preserve"> </w:t>
      </w:r>
      <w:r>
        <w:rPr>
          <w:rStyle w:val="NoneA"/>
        </w:rPr>
        <w:t>the</w:t>
      </w:r>
      <w:r>
        <w:rPr>
          <w:spacing w:val="40"/>
        </w:rPr>
        <w:t xml:space="preserve"> </w:t>
      </w:r>
      <w:r>
        <w:rPr>
          <w:rStyle w:val="NoneA"/>
        </w:rPr>
        <w:t>terms</w:t>
      </w:r>
      <w:r>
        <w:rPr>
          <w:spacing w:val="40"/>
        </w:rPr>
        <w:t xml:space="preserve"> </w:t>
      </w:r>
      <w:r>
        <w:rPr>
          <w:rStyle w:val="NoneA"/>
        </w:rPr>
        <w:t>and</w:t>
      </w:r>
      <w:r>
        <w:rPr>
          <w:spacing w:val="40"/>
        </w:rPr>
        <w:t xml:space="preserve"> </w:t>
      </w:r>
      <w:r>
        <w:rPr>
          <w:rStyle w:val="NoneA"/>
        </w:rPr>
        <w:t>conditions</w:t>
      </w:r>
      <w:r>
        <w:rPr>
          <w:spacing w:val="40"/>
        </w:rPr>
        <w:t xml:space="preserve"> </w:t>
      </w:r>
      <w:r>
        <w:rPr>
          <w:rStyle w:val="NoneA"/>
        </w:rPr>
        <w:t>thereof,</w:t>
      </w:r>
      <w:r>
        <w:rPr>
          <w:spacing w:val="40"/>
        </w:rPr>
        <w:t xml:space="preserve"> </w:t>
      </w:r>
      <w:r>
        <w:rPr>
          <w:rStyle w:val="NoneA"/>
        </w:rPr>
        <w:t>and</w:t>
      </w:r>
      <w:r>
        <w:rPr>
          <w:spacing w:val="40"/>
        </w:rPr>
        <w:t xml:space="preserve"> </w:t>
      </w:r>
      <w:r>
        <w:rPr>
          <w:rStyle w:val="NoneA"/>
        </w:rPr>
        <w:t>its implementation or non-implementation thereof.</w:t>
      </w:r>
    </w:p>
    <w:p w:rsidR="005148A4" w:rsidRDefault="00EB735E">
      <w:pPr>
        <w:pStyle w:val="BodyA"/>
      </w:pPr>
      <w:r>
        <w:rPr>
          <w:rStyle w:val="NoneA"/>
        </w:rPr>
        <w:t>Section 2.</w:t>
      </w:r>
      <w:r>
        <w:rPr>
          <w:spacing w:val="40"/>
        </w:rPr>
        <w:t xml:space="preserve"> </w:t>
      </w:r>
      <w:r>
        <w:rPr>
          <w:rStyle w:val="NoneA"/>
        </w:rPr>
        <w:t>Attorney’s fees shall likewise be charged in case the PROCURING ENTITY is impleaded in any litigation initiated or brought by the CONTRACTOR or any of its personnel, or by any third party as a consequence of the acts of the CONTRACTOR or its personnel, and the PROCURING ENTITY</w:t>
      </w:r>
      <w:r>
        <w:rPr>
          <w:spacing w:val="-3"/>
        </w:rPr>
        <w:t xml:space="preserve"> </w:t>
      </w:r>
      <w:r>
        <w:rPr>
          <w:rStyle w:val="NoneA"/>
        </w:rPr>
        <w:t>is</w:t>
      </w:r>
      <w:r>
        <w:rPr>
          <w:spacing w:val="-3"/>
        </w:rPr>
        <w:t xml:space="preserve"> </w:t>
      </w:r>
      <w:r>
        <w:rPr>
          <w:rStyle w:val="NoneA"/>
        </w:rPr>
        <w:t>compelled</w:t>
      </w:r>
      <w:r>
        <w:rPr>
          <w:spacing w:val="-3"/>
        </w:rPr>
        <w:t xml:space="preserve"> </w:t>
      </w:r>
      <w:r>
        <w:rPr>
          <w:rStyle w:val="NoneA"/>
        </w:rPr>
        <w:t>to</w:t>
      </w:r>
      <w:r>
        <w:rPr>
          <w:spacing w:val="-3"/>
        </w:rPr>
        <w:t xml:space="preserve"> </w:t>
      </w:r>
      <w:r>
        <w:rPr>
          <w:rStyle w:val="NoneA"/>
        </w:rPr>
        <w:t>seek</w:t>
      </w:r>
      <w:r>
        <w:rPr>
          <w:spacing w:val="-3"/>
        </w:rPr>
        <w:t xml:space="preserve"> </w:t>
      </w:r>
      <w:r>
        <w:rPr>
          <w:rStyle w:val="NoneA"/>
        </w:rPr>
        <w:t>judicial</w:t>
      </w:r>
      <w:r>
        <w:rPr>
          <w:spacing w:val="-3"/>
        </w:rPr>
        <w:t xml:space="preserve"> </w:t>
      </w:r>
      <w:r>
        <w:rPr>
          <w:rStyle w:val="NoneA"/>
        </w:rPr>
        <w:t>relief,</w:t>
      </w:r>
      <w:r>
        <w:rPr>
          <w:spacing w:val="-3"/>
        </w:rPr>
        <w:t xml:space="preserve"> </w:t>
      </w:r>
      <w:r>
        <w:rPr>
          <w:rStyle w:val="NoneA"/>
        </w:rPr>
        <w:t>therefore,</w:t>
      </w:r>
      <w:r>
        <w:rPr>
          <w:spacing w:val="-3"/>
        </w:rPr>
        <w:t xml:space="preserve"> </w:t>
      </w:r>
      <w:r>
        <w:rPr>
          <w:rStyle w:val="NoneA"/>
        </w:rPr>
        <w:t>or</w:t>
      </w:r>
      <w:r>
        <w:rPr>
          <w:spacing w:val="-3"/>
        </w:rPr>
        <w:t xml:space="preserve"> </w:t>
      </w:r>
      <w:r>
        <w:rPr>
          <w:rStyle w:val="NoneA"/>
        </w:rPr>
        <w:t>to</w:t>
      </w:r>
      <w:r>
        <w:rPr>
          <w:spacing w:val="-3"/>
        </w:rPr>
        <w:t xml:space="preserve"> </w:t>
      </w:r>
      <w:r>
        <w:rPr>
          <w:rStyle w:val="NoneA"/>
        </w:rPr>
        <w:t>respond to one already ﬁled in any judicial or quasi-judicial forum.</w:t>
      </w:r>
    </w:p>
    <w:p w:rsidR="005148A4" w:rsidRDefault="00EB735E">
      <w:pPr>
        <w:pStyle w:val="BodyA"/>
      </w:pPr>
      <w:r>
        <w:rPr>
          <w:rStyle w:val="NoneA"/>
        </w:rPr>
        <w:t>Section 3. In</w:t>
      </w:r>
      <w:r>
        <w:rPr>
          <w:spacing w:val="-2"/>
        </w:rPr>
        <w:t xml:space="preserve"> </w:t>
      </w:r>
      <w:r>
        <w:rPr>
          <w:rStyle w:val="NoneA"/>
        </w:rPr>
        <w:t>case</w:t>
      </w:r>
      <w:r>
        <w:rPr>
          <w:spacing w:val="-2"/>
        </w:rPr>
        <w:t xml:space="preserve"> </w:t>
      </w:r>
      <w:r>
        <w:rPr>
          <w:rStyle w:val="NoneA"/>
        </w:rPr>
        <w:t>under</w:t>
      </w:r>
      <w:r>
        <w:rPr>
          <w:spacing w:val="-2"/>
        </w:rPr>
        <w:t xml:space="preserve"> </w:t>
      </w:r>
      <w:r>
        <w:rPr>
          <w:rStyle w:val="NoneA"/>
        </w:rPr>
        <w:t>Sections</w:t>
      </w:r>
      <w:r>
        <w:rPr>
          <w:spacing w:val="-2"/>
        </w:rPr>
        <w:t xml:space="preserve"> </w:t>
      </w:r>
      <w:r>
        <w:rPr>
          <w:rStyle w:val="NoneA"/>
        </w:rPr>
        <w:t>1</w:t>
      </w:r>
      <w:r>
        <w:rPr>
          <w:spacing w:val="-2"/>
        </w:rPr>
        <w:t xml:space="preserve"> </w:t>
      </w:r>
      <w:r>
        <w:rPr>
          <w:rStyle w:val="NoneA"/>
        </w:rPr>
        <w:t>and</w:t>
      </w:r>
      <w:r>
        <w:rPr>
          <w:spacing w:val="-2"/>
        </w:rPr>
        <w:t xml:space="preserve"> </w:t>
      </w:r>
      <w:r>
        <w:rPr>
          <w:rStyle w:val="NoneA"/>
        </w:rPr>
        <w:t>2</w:t>
      </w:r>
      <w:r>
        <w:rPr>
          <w:spacing w:val="-2"/>
        </w:rPr>
        <w:t xml:space="preserve"> </w:t>
      </w:r>
      <w:r>
        <w:rPr>
          <w:rStyle w:val="NoneA"/>
        </w:rPr>
        <w:t>of</w:t>
      </w:r>
      <w:r>
        <w:rPr>
          <w:spacing w:val="-2"/>
        </w:rPr>
        <w:t xml:space="preserve"> </w:t>
      </w:r>
      <w:r>
        <w:rPr>
          <w:rStyle w:val="NoneA"/>
        </w:rPr>
        <w:t>this</w:t>
      </w:r>
      <w:r>
        <w:rPr>
          <w:spacing w:val="-2"/>
        </w:rPr>
        <w:t xml:space="preserve"> </w:t>
      </w:r>
      <w:r>
        <w:rPr>
          <w:rStyle w:val="NoneA"/>
        </w:rPr>
        <w:t>Article,</w:t>
      </w:r>
      <w:r>
        <w:rPr>
          <w:spacing w:val="-2"/>
        </w:rPr>
        <w:t xml:space="preserve"> </w:t>
      </w:r>
      <w:r>
        <w:rPr>
          <w:rStyle w:val="NoneA"/>
        </w:rPr>
        <w:t>the</w:t>
      </w:r>
      <w:r>
        <w:rPr>
          <w:spacing w:val="-2"/>
        </w:rPr>
        <w:t xml:space="preserve"> </w:t>
      </w:r>
      <w:r>
        <w:rPr>
          <w:rStyle w:val="NoneA"/>
        </w:rPr>
        <w:t>CONTRACTOR</w:t>
      </w:r>
      <w:r>
        <w:rPr>
          <w:spacing w:val="-2"/>
        </w:rPr>
        <w:t xml:space="preserve"> </w:t>
      </w:r>
      <w:r>
        <w:rPr>
          <w:rStyle w:val="NoneA"/>
        </w:rPr>
        <w:t>by</w:t>
      </w:r>
      <w:r>
        <w:rPr>
          <w:spacing w:val="-2"/>
        </w:rPr>
        <w:t xml:space="preserve"> </w:t>
      </w:r>
      <w:r>
        <w:rPr>
          <w:rStyle w:val="NoneA"/>
        </w:rPr>
        <w:t>way</w:t>
      </w:r>
      <w:r>
        <w:rPr>
          <w:spacing w:val="-2"/>
        </w:rPr>
        <w:t xml:space="preserve"> </w:t>
      </w:r>
      <w:r>
        <w:rPr>
          <w:rStyle w:val="NoneA"/>
        </w:rPr>
        <w:t>of Attorney’s Fees binds itself to pay</w:t>
      </w:r>
      <w:r>
        <w:rPr>
          <w:spacing w:val="-4"/>
        </w:rPr>
        <w:t xml:space="preserve"> </w:t>
      </w:r>
      <w:r>
        <w:rPr>
          <w:rStyle w:val="NoneA"/>
        </w:rPr>
        <w:t>the</w:t>
      </w:r>
      <w:r>
        <w:rPr>
          <w:spacing w:val="-4"/>
        </w:rPr>
        <w:t xml:space="preserve"> </w:t>
      </w:r>
      <w:r>
        <w:rPr>
          <w:rStyle w:val="NoneA"/>
        </w:rPr>
        <w:t>PROCURING ENTITY</w:t>
      </w:r>
      <w:r>
        <w:rPr>
          <w:spacing w:val="-4"/>
        </w:rPr>
        <w:t xml:space="preserve"> </w:t>
      </w:r>
      <w:r>
        <w:rPr>
          <w:rStyle w:val="NoneA"/>
        </w:rPr>
        <w:t>a</w:t>
      </w:r>
      <w:r>
        <w:rPr>
          <w:spacing w:val="-4"/>
        </w:rPr>
        <w:t xml:space="preserve"> </w:t>
      </w:r>
      <w:r>
        <w:rPr>
          <w:rStyle w:val="NoneA"/>
        </w:rPr>
        <w:t>sum</w:t>
      </w:r>
      <w:r>
        <w:rPr>
          <w:spacing w:val="-4"/>
        </w:rPr>
        <w:t xml:space="preserve"> </w:t>
      </w:r>
      <w:r>
        <w:rPr>
          <w:rStyle w:val="NoneA"/>
        </w:rPr>
        <w:t>equivalent</w:t>
      </w:r>
      <w:r>
        <w:rPr>
          <w:spacing w:val="-4"/>
        </w:rPr>
        <w:t xml:space="preserve"> </w:t>
      </w:r>
      <w:r>
        <w:rPr>
          <w:rStyle w:val="NoneA"/>
        </w:rPr>
        <w:t>to</w:t>
      </w:r>
      <w:r>
        <w:rPr>
          <w:spacing w:val="-4"/>
        </w:rPr>
        <w:t xml:space="preserve"> </w:t>
      </w:r>
      <w:r>
        <w:rPr>
          <w:rStyle w:val="NoneA"/>
        </w:rPr>
        <w:t>twenty-ﬁve</w:t>
      </w:r>
      <w:r>
        <w:rPr>
          <w:spacing w:val="-4"/>
        </w:rPr>
        <w:t xml:space="preserve"> </w:t>
      </w:r>
      <w:r>
        <w:rPr>
          <w:rStyle w:val="NoneA"/>
        </w:rPr>
        <w:t>percent (25%) of the total amount claimed, but in no case shall be less than FIFTY THOUSAND PESOS (P50,000.00), aside from any and all damages and costs of litigation including other expenses to which the PROCURING ENTITY may be entitled under the law.</w:t>
      </w:r>
    </w:p>
    <w:p w:rsidR="005148A4" w:rsidRDefault="00EB735E">
      <w:pPr>
        <w:pStyle w:val="Subtitle"/>
      </w:pPr>
      <w:bookmarkStart w:id="22" w:name="_Toc22"/>
      <w:r>
        <w:rPr>
          <w:rStyle w:val="NoneA"/>
          <w:rFonts w:eastAsia="Arial Unicode MS" w:cs="Arial Unicode MS"/>
        </w:rPr>
        <w:t>ARTICLE 24 - Non indemnification and Application of Remedies</w:t>
      </w:r>
      <w:bookmarkEnd w:id="22"/>
    </w:p>
    <w:p w:rsidR="005148A4" w:rsidRDefault="00EB735E">
      <w:pPr>
        <w:pStyle w:val="BodyA"/>
      </w:pPr>
      <w:r>
        <w:rPr>
          <w:rStyle w:val="NoneA"/>
        </w:rPr>
        <w:t>Section 1. The CONTRACTOR shall indemnify, hold</w:t>
      </w:r>
      <w:r>
        <w:rPr>
          <w:spacing w:val="-5"/>
        </w:rPr>
        <w:t xml:space="preserve"> </w:t>
      </w:r>
      <w:r>
        <w:rPr>
          <w:rStyle w:val="NoneA"/>
        </w:rPr>
        <w:t>free</w:t>
      </w:r>
      <w:r>
        <w:rPr>
          <w:spacing w:val="-5"/>
        </w:rPr>
        <w:t xml:space="preserve"> </w:t>
      </w:r>
      <w:r>
        <w:rPr>
          <w:rStyle w:val="NoneA"/>
        </w:rPr>
        <w:t>and</w:t>
      </w:r>
      <w:r>
        <w:rPr>
          <w:spacing w:val="-5"/>
        </w:rPr>
        <w:t xml:space="preserve"> </w:t>
      </w:r>
      <w:r>
        <w:rPr>
          <w:rStyle w:val="NoneA"/>
        </w:rPr>
        <w:t>harmless,</w:t>
      </w:r>
      <w:r>
        <w:rPr>
          <w:spacing w:val="-5"/>
        </w:rPr>
        <w:t xml:space="preserve"> </w:t>
      </w:r>
      <w:r>
        <w:rPr>
          <w:rStyle w:val="NoneA"/>
        </w:rPr>
        <w:t>and</w:t>
      </w:r>
      <w:r>
        <w:rPr>
          <w:spacing w:val="-5"/>
        </w:rPr>
        <w:t xml:space="preserve"> </w:t>
      </w:r>
      <w:r>
        <w:rPr>
          <w:rStyle w:val="NoneA"/>
        </w:rPr>
        <w:t>defend</w:t>
      </w:r>
      <w:r>
        <w:rPr>
          <w:spacing w:val="-5"/>
        </w:rPr>
        <w:t xml:space="preserve"> </w:t>
      </w:r>
      <w:r>
        <w:rPr>
          <w:rStyle w:val="NoneA"/>
        </w:rPr>
        <w:t>at its own expense the PROCURING ENTITY and its oﬃcials, agents, employees, or workers,</w:t>
      </w:r>
      <w:r>
        <w:rPr>
          <w:spacing w:val="-4"/>
        </w:rPr>
        <w:t xml:space="preserve"> </w:t>
      </w:r>
      <w:r>
        <w:rPr>
          <w:rStyle w:val="NoneA"/>
        </w:rPr>
        <w:t>from</w:t>
      </w:r>
      <w:r>
        <w:rPr>
          <w:spacing w:val="-4"/>
        </w:rPr>
        <w:t xml:space="preserve"> </w:t>
      </w:r>
      <w:r>
        <w:rPr>
          <w:rStyle w:val="NoneA"/>
        </w:rPr>
        <w:t>and against all suits, claims, demands, and liabilities of any nature or kind, including costs and expenses associated therewith, arising out of acts or omissions of the CONTRACTOR, its employees, workers, or</w:t>
      </w:r>
      <w:r>
        <w:rPr>
          <w:spacing w:val="-3"/>
        </w:rPr>
        <w:t xml:space="preserve"> </w:t>
      </w:r>
      <w:r>
        <w:rPr>
          <w:rStyle w:val="NoneA"/>
        </w:rPr>
        <w:t>sub-contractors</w:t>
      </w:r>
      <w:r>
        <w:rPr>
          <w:spacing w:val="-3"/>
        </w:rPr>
        <w:t xml:space="preserve"> </w:t>
      </w:r>
      <w:r>
        <w:rPr>
          <w:rStyle w:val="NoneA"/>
        </w:rPr>
        <w:t>in</w:t>
      </w:r>
      <w:r>
        <w:rPr>
          <w:spacing w:val="-3"/>
        </w:rPr>
        <w:t xml:space="preserve"> </w:t>
      </w:r>
      <w:r>
        <w:rPr>
          <w:rStyle w:val="NoneA"/>
        </w:rPr>
        <w:t>the</w:t>
      </w:r>
      <w:r>
        <w:rPr>
          <w:spacing w:val="-3"/>
        </w:rPr>
        <w:t xml:space="preserve"> </w:t>
      </w:r>
      <w:r>
        <w:rPr>
          <w:rStyle w:val="NoneA"/>
        </w:rPr>
        <w:t>performance</w:t>
      </w:r>
      <w:r>
        <w:rPr>
          <w:spacing w:val="-3"/>
        </w:rPr>
        <w:t xml:space="preserve"> </w:t>
      </w:r>
      <w:r>
        <w:rPr>
          <w:rStyle w:val="NoneA"/>
        </w:rPr>
        <w:t>of</w:t>
      </w:r>
      <w:r>
        <w:rPr>
          <w:spacing w:val="-3"/>
        </w:rPr>
        <w:t xml:space="preserve"> </w:t>
      </w:r>
      <w:r>
        <w:rPr>
          <w:rStyle w:val="NoneA"/>
        </w:rPr>
        <w:t>any</w:t>
      </w:r>
      <w:r>
        <w:rPr>
          <w:spacing w:val="-3"/>
        </w:rPr>
        <w:t xml:space="preserve"> </w:t>
      </w:r>
      <w:r>
        <w:rPr>
          <w:rStyle w:val="NoneA"/>
        </w:rPr>
        <w:t>activity</w:t>
      </w:r>
      <w:r>
        <w:rPr>
          <w:spacing w:val="-3"/>
        </w:rPr>
        <w:t xml:space="preserve"> </w:t>
      </w:r>
      <w:r>
        <w:rPr>
          <w:rStyle w:val="NoneA"/>
        </w:rPr>
        <w:t>in</w:t>
      </w:r>
      <w:r>
        <w:rPr>
          <w:spacing w:val="-3"/>
        </w:rPr>
        <w:t xml:space="preserve"> </w:t>
      </w:r>
      <w:r>
        <w:rPr>
          <w:rStyle w:val="NoneA"/>
        </w:rPr>
        <w:t>connection</w:t>
      </w:r>
      <w:r>
        <w:rPr>
          <w:spacing w:val="-3"/>
        </w:rPr>
        <w:t xml:space="preserve"> </w:t>
      </w:r>
      <w:r>
        <w:rPr>
          <w:rStyle w:val="NoneA"/>
        </w:rPr>
        <w:t>with the PROJECT, including those that may be initiated by its employees, workers, agents, subcontractors, or by any other entity or person against the</w:t>
      </w:r>
      <w:r>
        <w:rPr>
          <w:spacing w:val="-3"/>
        </w:rPr>
        <w:t xml:space="preserve"> </w:t>
      </w:r>
      <w:r>
        <w:rPr>
          <w:rStyle w:val="NoneA"/>
        </w:rPr>
        <w:t>PROCURING ENTITY</w:t>
      </w:r>
      <w:r>
        <w:rPr>
          <w:spacing w:val="-3"/>
        </w:rPr>
        <w:t xml:space="preserve"> </w:t>
      </w:r>
      <w:r>
        <w:rPr>
          <w:rStyle w:val="NoneA"/>
        </w:rPr>
        <w:t>by</w:t>
      </w:r>
      <w:r>
        <w:rPr>
          <w:spacing w:val="-3"/>
        </w:rPr>
        <w:t xml:space="preserve"> </w:t>
      </w:r>
      <w:r>
        <w:rPr>
          <w:rStyle w:val="NoneA"/>
        </w:rPr>
        <w:t>reason</w:t>
      </w:r>
      <w:r>
        <w:rPr>
          <w:spacing w:val="-3"/>
        </w:rPr>
        <w:t xml:space="preserve"> </w:t>
      </w:r>
      <w:r>
        <w:rPr>
          <w:rStyle w:val="NoneA"/>
        </w:rPr>
        <w:t>of</w:t>
      </w:r>
      <w:r>
        <w:rPr>
          <w:spacing w:val="-3"/>
        </w:rPr>
        <w:t xml:space="preserve"> </w:t>
      </w:r>
      <w:r>
        <w:rPr>
          <w:rStyle w:val="NoneA"/>
        </w:rPr>
        <w:t>or</w:t>
      </w:r>
      <w:r>
        <w:rPr>
          <w:spacing w:val="-3"/>
        </w:rPr>
        <w:t xml:space="preserve"> </w:t>
      </w:r>
      <w:r>
        <w:rPr>
          <w:rStyle w:val="NoneA"/>
        </w:rPr>
        <w:t>in connection to the PROJECT.</w:t>
      </w:r>
    </w:p>
    <w:p w:rsidR="005148A4" w:rsidRDefault="00EB735E">
      <w:pPr>
        <w:pStyle w:val="BodyA"/>
      </w:pPr>
      <w:r>
        <w:rPr>
          <w:rStyle w:val="NoneA"/>
        </w:rPr>
        <w:t>Section 2. All rights or remedies available to the</w:t>
      </w:r>
      <w:r>
        <w:rPr>
          <w:spacing w:val="-4"/>
        </w:rPr>
        <w:t xml:space="preserve"> </w:t>
      </w:r>
      <w:r>
        <w:rPr>
          <w:rStyle w:val="NoneA"/>
        </w:rPr>
        <w:t>PROCURING ENTITY</w:t>
      </w:r>
      <w:r>
        <w:rPr>
          <w:spacing w:val="-4"/>
        </w:rPr>
        <w:t xml:space="preserve"> </w:t>
      </w:r>
      <w:r>
        <w:rPr>
          <w:rStyle w:val="NoneA"/>
        </w:rPr>
        <w:t>under</w:t>
      </w:r>
      <w:r>
        <w:rPr>
          <w:spacing w:val="-4"/>
        </w:rPr>
        <w:t xml:space="preserve"> </w:t>
      </w:r>
      <w:r>
        <w:rPr>
          <w:rStyle w:val="NoneA"/>
        </w:rPr>
        <w:t>this</w:t>
      </w:r>
      <w:r>
        <w:rPr>
          <w:spacing w:val="-4"/>
        </w:rPr>
        <w:t xml:space="preserve"> </w:t>
      </w:r>
      <w:r>
        <w:rPr>
          <w:rStyle w:val="NoneA"/>
        </w:rPr>
        <w:t>Contract or by law are separate and cumulative.</w:t>
      </w:r>
    </w:p>
    <w:p w:rsidR="005148A4" w:rsidRDefault="00EB735E">
      <w:pPr>
        <w:pStyle w:val="BodyA"/>
      </w:pPr>
      <w:r>
        <w:rPr>
          <w:rStyle w:val="NoneA"/>
        </w:rPr>
        <w:t>Section 3.</w:t>
      </w:r>
      <w:r>
        <w:rPr>
          <w:spacing w:val="-4"/>
        </w:rPr>
        <w:t xml:space="preserve"> </w:t>
      </w:r>
      <w:r>
        <w:rPr>
          <w:rStyle w:val="NoneA"/>
        </w:rPr>
        <w:t>No</w:t>
      </w:r>
      <w:r>
        <w:rPr>
          <w:spacing w:val="-4"/>
        </w:rPr>
        <w:t xml:space="preserve"> </w:t>
      </w:r>
      <w:r>
        <w:rPr>
          <w:rStyle w:val="NoneA"/>
        </w:rPr>
        <w:t>right</w:t>
      </w:r>
      <w:r>
        <w:rPr>
          <w:spacing w:val="-4"/>
        </w:rPr>
        <w:t xml:space="preserve"> </w:t>
      </w:r>
      <w:r>
        <w:rPr>
          <w:rStyle w:val="NoneA"/>
        </w:rPr>
        <w:t>or</w:t>
      </w:r>
      <w:r>
        <w:rPr>
          <w:spacing w:val="-4"/>
        </w:rPr>
        <w:t xml:space="preserve"> </w:t>
      </w:r>
      <w:r>
        <w:rPr>
          <w:rStyle w:val="NoneA"/>
        </w:rPr>
        <w:t>remedy</w:t>
      </w:r>
      <w:r>
        <w:rPr>
          <w:spacing w:val="-4"/>
        </w:rPr>
        <w:t xml:space="preserve"> </w:t>
      </w:r>
      <w:r>
        <w:rPr>
          <w:rStyle w:val="NoneA"/>
        </w:rPr>
        <w:t>whether</w:t>
      </w:r>
      <w:r>
        <w:rPr>
          <w:spacing w:val="-4"/>
        </w:rPr>
        <w:t xml:space="preserve"> </w:t>
      </w:r>
      <w:r>
        <w:rPr>
          <w:rStyle w:val="NoneA"/>
        </w:rPr>
        <w:t>or</w:t>
      </w:r>
      <w:r>
        <w:rPr>
          <w:spacing w:val="-4"/>
        </w:rPr>
        <w:t xml:space="preserve"> </w:t>
      </w:r>
      <w:r>
        <w:rPr>
          <w:rStyle w:val="NoneA"/>
        </w:rPr>
        <w:t>not</w:t>
      </w:r>
      <w:r>
        <w:rPr>
          <w:spacing w:val="-4"/>
        </w:rPr>
        <w:t xml:space="preserve"> </w:t>
      </w:r>
      <w:r>
        <w:rPr>
          <w:rStyle w:val="NoneA"/>
        </w:rPr>
        <w:t>exercised</w:t>
      </w:r>
      <w:r>
        <w:rPr>
          <w:spacing w:val="-4"/>
        </w:rPr>
        <w:t xml:space="preserve"> </w:t>
      </w:r>
      <w:r>
        <w:rPr>
          <w:rStyle w:val="NoneA"/>
        </w:rPr>
        <w:t>shall</w:t>
      </w:r>
      <w:r>
        <w:rPr>
          <w:spacing w:val="-4"/>
        </w:rPr>
        <w:t xml:space="preserve"> </w:t>
      </w:r>
      <w:r>
        <w:rPr>
          <w:rStyle w:val="NoneA"/>
        </w:rPr>
        <w:t>exclude</w:t>
      </w:r>
      <w:r>
        <w:rPr>
          <w:spacing w:val="-4"/>
        </w:rPr>
        <w:t xml:space="preserve"> </w:t>
      </w:r>
      <w:r>
        <w:rPr>
          <w:rStyle w:val="NoneA"/>
        </w:rPr>
        <w:t>any</w:t>
      </w:r>
      <w:r>
        <w:rPr>
          <w:spacing w:val="-4"/>
        </w:rPr>
        <w:t xml:space="preserve"> </w:t>
      </w:r>
      <w:r>
        <w:rPr>
          <w:rStyle w:val="NoneA"/>
        </w:rPr>
        <w:t>other</w:t>
      </w:r>
      <w:r>
        <w:rPr>
          <w:spacing w:val="-4"/>
        </w:rPr>
        <w:t xml:space="preserve"> </w:t>
      </w:r>
      <w:r>
        <w:rPr>
          <w:rStyle w:val="NoneA"/>
        </w:rPr>
        <w:t>right</w:t>
      </w:r>
      <w:r>
        <w:rPr>
          <w:spacing w:val="-4"/>
        </w:rPr>
        <w:t xml:space="preserve"> </w:t>
      </w:r>
      <w:r>
        <w:rPr>
          <w:rStyle w:val="NoneA"/>
        </w:rPr>
        <w:t xml:space="preserve">or </w:t>
      </w:r>
      <w:r>
        <w:rPr>
          <w:spacing w:val="-2"/>
        </w:rPr>
        <w:t>remedy.</w:t>
      </w:r>
    </w:p>
    <w:p w:rsidR="005148A4" w:rsidRDefault="00EB735E">
      <w:pPr>
        <w:pStyle w:val="BodyA"/>
      </w:pPr>
      <w:r>
        <w:rPr>
          <w:rStyle w:val="NoneA"/>
        </w:rPr>
        <w:t>Section 4. The damages provided under this section are in addition to those that may be adjudged, plus twenty-ﬁve percent (25%) of the total amount of damages sought as attorney's fees.</w:t>
      </w:r>
    </w:p>
    <w:p w:rsidR="005148A4" w:rsidRDefault="00EB735E">
      <w:pPr>
        <w:pStyle w:val="BodyA"/>
      </w:pPr>
      <w:r>
        <w:rPr>
          <w:rStyle w:val="NoneA"/>
        </w:rPr>
        <w:t>Section</w:t>
      </w:r>
      <w:r>
        <w:rPr>
          <w:spacing w:val="-4"/>
        </w:rPr>
        <w:t xml:space="preserve"> </w:t>
      </w:r>
      <w:r>
        <w:rPr>
          <w:rStyle w:val="NoneA"/>
        </w:rPr>
        <w:t>5.</w:t>
      </w:r>
      <w:r>
        <w:rPr>
          <w:spacing w:val="-4"/>
        </w:rPr>
        <w:t xml:space="preserve"> </w:t>
      </w:r>
      <w:r>
        <w:rPr>
          <w:rStyle w:val="NoneA"/>
        </w:rPr>
        <w:t>The</w:t>
      </w:r>
      <w:r>
        <w:rPr>
          <w:spacing w:val="-4"/>
        </w:rPr>
        <w:t xml:space="preserve"> </w:t>
      </w:r>
      <w:r>
        <w:rPr>
          <w:rStyle w:val="NoneA"/>
        </w:rPr>
        <w:t>damages</w:t>
      </w:r>
      <w:r>
        <w:rPr>
          <w:spacing w:val="-4"/>
        </w:rPr>
        <w:t xml:space="preserve"> </w:t>
      </w:r>
      <w:r>
        <w:rPr>
          <w:rStyle w:val="NoneA"/>
        </w:rPr>
        <w:t>provided</w:t>
      </w:r>
      <w:r>
        <w:rPr>
          <w:spacing w:val="-4"/>
        </w:rPr>
        <w:t xml:space="preserve"> </w:t>
      </w:r>
      <w:r>
        <w:rPr>
          <w:rStyle w:val="NoneA"/>
        </w:rPr>
        <w:t>under</w:t>
      </w:r>
      <w:r>
        <w:rPr>
          <w:spacing w:val="-4"/>
        </w:rPr>
        <w:t xml:space="preserve"> </w:t>
      </w:r>
      <w:r>
        <w:rPr>
          <w:rStyle w:val="NoneA"/>
        </w:rPr>
        <w:t>the</w:t>
      </w:r>
      <w:r>
        <w:rPr>
          <w:spacing w:val="-4"/>
        </w:rPr>
        <w:t xml:space="preserve"> </w:t>
      </w:r>
      <w:r>
        <w:rPr>
          <w:rStyle w:val="NoneA"/>
        </w:rPr>
        <w:t>immediately</w:t>
      </w:r>
      <w:r>
        <w:rPr>
          <w:spacing w:val="-4"/>
        </w:rPr>
        <w:t xml:space="preserve"> </w:t>
      </w:r>
      <w:r>
        <w:rPr>
          <w:rStyle w:val="NoneA"/>
        </w:rPr>
        <w:t>preceding</w:t>
      </w:r>
      <w:r>
        <w:rPr>
          <w:spacing w:val="-4"/>
        </w:rPr>
        <w:t xml:space="preserve"> </w:t>
      </w:r>
      <w:r>
        <w:rPr>
          <w:rStyle w:val="NoneA"/>
        </w:rPr>
        <w:t>section</w:t>
      </w:r>
      <w:r>
        <w:rPr>
          <w:spacing w:val="-4"/>
        </w:rPr>
        <w:t xml:space="preserve"> </w:t>
      </w:r>
      <w:r>
        <w:rPr>
          <w:rStyle w:val="NoneA"/>
        </w:rPr>
        <w:t>are</w:t>
      </w:r>
      <w:r>
        <w:rPr>
          <w:spacing w:val="-4"/>
        </w:rPr>
        <w:t xml:space="preserve"> </w:t>
      </w:r>
      <w:r>
        <w:rPr>
          <w:rStyle w:val="NoneA"/>
        </w:rPr>
        <w:t>without prejudice to such other damages provided herein and under applicable laws.</w:t>
      </w:r>
    </w:p>
    <w:p w:rsidR="005148A4" w:rsidRDefault="00EB735E">
      <w:pPr>
        <w:pStyle w:val="Subtitle"/>
      </w:pPr>
      <w:bookmarkStart w:id="23" w:name="_Toc23"/>
      <w:r>
        <w:rPr>
          <w:rStyle w:val="NoneA"/>
          <w:rFonts w:eastAsia="Arial Unicode MS" w:cs="Arial Unicode MS"/>
        </w:rPr>
        <w:t>ARTICLE 25 - Settlement of Disputes</w:t>
      </w:r>
      <w:bookmarkEnd w:id="23"/>
    </w:p>
    <w:p w:rsidR="005148A4" w:rsidRDefault="00EB735E">
      <w:pPr>
        <w:pStyle w:val="BodyA"/>
      </w:pPr>
      <w:r>
        <w:rPr>
          <w:rStyle w:val="NoneA"/>
        </w:rPr>
        <w:t>Section 1. Amicable settlement.</w:t>
      </w:r>
      <w:r>
        <w:rPr>
          <w:rFonts w:eastAsia="Spectral Regular" w:cs="Spectral Regular"/>
          <w:vertAlign w:val="superscript"/>
        </w:rPr>
        <w:footnoteReference w:id="16"/>
      </w:r>
      <w:r>
        <w:rPr>
          <w:rStyle w:val="NoneA"/>
        </w:rPr>
        <w:t xml:space="preserve"> - [1] If any dispute or difference of any kind whatsoever shall arise between the parties in connection with the implementation of </w:t>
      </w:r>
      <w:r>
        <w:rPr>
          <w:rStyle w:val="NoneA"/>
        </w:rPr>
        <w:lastRenderedPageBreak/>
        <w:t>this Contract, the parties shall make every effort to resolve amicably such dispute or difference by mutual consultation within</w:t>
      </w:r>
      <w:r>
        <w:rPr>
          <w:spacing w:val="-3"/>
        </w:rPr>
        <w:t xml:space="preserve"> sixty (</w:t>
      </w:r>
      <w:r>
        <w:rPr>
          <w:rStyle w:val="NoneA"/>
        </w:rPr>
        <w:t>60)</w:t>
      </w:r>
      <w:r>
        <w:rPr>
          <w:spacing w:val="-3"/>
        </w:rPr>
        <w:t xml:space="preserve"> </w:t>
      </w:r>
      <w:r>
        <w:rPr>
          <w:rStyle w:val="NoneA"/>
        </w:rPr>
        <w:t>days</w:t>
      </w:r>
      <w:r>
        <w:rPr>
          <w:spacing w:val="-3"/>
        </w:rPr>
        <w:t xml:space="preserve"> </w:t>
      </w:r>
      <w:r>
        <w:rPr>
          <w:rStyle w:val="NoneA"/>
        </w:rPr>
        <w:t>after</w:t>
      </w:r>
      <w:r>
        <w:rPr>
          <w:spacing w:val="-3"/>
        </w:rPr>
        <w:t xml:space="preserve"> </w:t>
      </w:r>
      <w:r>
        <w:rPr>
          <w:rStyle w:val="NoneA"/>
        </w:rPr>
        <w:t>a</w:t>
      </w:r>
      <w:r>
        <w:rPr>
          <w:spacing w:val="-3"/>
        </w:rPr>
        <w:t xml:space="preserve"> </w:t>
      </w:r>
      <w:r>
        <w:rPr>
          <w:rStyle w:val="NoneA"/>
        </w:rPr>
        <w:t>party</w:t>
      </w:r>
      <w:r>
        <w:rPr>
          <w:spacing w:val="-3"/>
        </w:rPr>
        <w:t xml:space="preserve"> </w:t>
      </w:r>
      <w:r>
        <w:rPr>
          <w:rStyle w:val="NoneA"/>
        </w:rPr>
        <w:t>receives</w:t>
      </w:r>
      <w:r>
        <w:rPr>
          <w:spacing w:val="-3"/>
        </w:rPr>
        <w:t xml:space="preserve"> </w:t>
      </w:r>
      <w:r>
        <w:rPr>
          <w:rStyle w:val="NoneA"/>
        </w:rPr>
        <w:t>a</w:t>
      </w:r>
      <w:r>
        <w:rPr>
          <w:spacing w:val="-3"/>
        </w:rPr>
        <w:t xml:space="preserve"> </w:t>
      </w:r>
      <w:r>
        <w:rPr>
          <w:rStyle w:val="NoneA"/>
        </w:rPr>
        <w:t>notice</w:t>
      </w:r>
      <w:r>
        <w:rPr>
          <w:spacing w:val="-3"/>
        </w:rPr>
        <w:t xml:space="preserve"> </w:t>
      </w:r>
      <w:r>
        <w:rPr>
          <w:rStyle w:val="NoneA"/>
        </w:rPr>
        <w:t>from</w:t>
      </w:r>
      <w:r>
        <w:rPr>
          <w:spacing w:val="-3"/>
        </w:rPr>
        <w:t xml:space="preserve"> </w:t>
      </w:r>
      <w:r>
        <w:rPr>
          <w:rStyle w:val="NoneA"/>
        </w:rPr>
        <w:t>the</w:t>
      </w:r>
      <w:r>
        <w:rPr>
          <w:spacing w:val="-3"/>
        </w:rPr>
        <w:t xml:space="preserve"> </w:t>
      </w:r>
      <w:r>
        <w:rPr>
          <w:rStyle w:val="NoneA"/>
        </w:rPr>
        <w:t>other</w:t>
      </w:r>
      <w:r>
        <w:rPr>
          <w:spacing w:val="-3"/>
        </w:rPr>
        <w:t xml:space="preserve"> </w:t>
      </w:r>
      <w:r>
        <w:rPr>
          <w:rStyle w:val="NoneA"/>
        </w:rPr>
        <w:t>to</w:t>
      </w:r>
      <w:r>
        <w:rPr>
          <w:spacing w:val="-3"/>
        </w:rPr>
        <w:t xml:space="preserve"> </w:t>
      </w:r>
      <w:r>
        <w:rPr>
          <w:rStyle w:val="NoneA"/>
        </w:rPr>
        <w:t>have</w:t>
      </w:r>
      <w:r>
        <w:rPr>
          <w:spacing w:val="-3"/>
        </w:rPr>
        <w:t xml:space="preserve"> </w:t>
      </w:r>
      <w:r>
        <w:rPr>
          <w:rStyle w:val="NoneA"/>
        </w:rPr>
        <w:t>a dispute or</w:t>
      </w:r>
      <w:r>
        <w:rPr>
          <w:spacing w:val="-3"/>
        </w:rPr>
        <w:t xml:space="preserve"> </w:t>
      </w:r>
      <w:r>
        <w:rPr>
          <w:rStyle w:val="NoneA"/>
        </w:rPr>
        <w:t>issue resolved. [2] The parties may extend the time for settlement in writing, specifying a deﬁnite date or duration for the extension. [3] The settlement must be reduced in writing and signed</w:t>
      </w:r>
      <w:r>
        <w:rPr>
          <w:spacing w:val="40"/>
        </w:rPr>
        <w:t xml:space="preserve"> </w:t>
      </w:r>
      <w:r>
        <w:rPr>
          <w:rStyle w:val="NoneA"/>
        </w:rPr>
        <w:t>by both parties.</w:t>
      </w:r>
    </w:p>
    <w:p w:rsidR="005148A4" w:rsidRDefault="00EB735E">
      <w:pPr>
        <w:pStyle w:val="BodyA"/>
      </w:pPr>
      <w:r>
        <w:rPr>
          <w:rStyle w:val="NoneA"/>
        </w:rPr>
        <w:t>Section 2. Arbitration.</w:t>
      </w:r>
      <w:r>
        <w:rPr>
          <w:rFonts w:eastAsia="Spectral Regular" w:cs="Spectral Regular"/>
          <w:vertAlign w:val="superscript"/>
        </w:rPr>
        <w:footnoteReference w:id="17"/>
      </w:r>
      <w:r>
        <w:rPr>
          <w:rStyle w:val="NoneA"/>
        </w:rPr>
        <w:t xml:space="preserve"> — If no settlement is reached after the lapse of the time speciﬁed in the preceding section, the disagreement or issue shall only be submitted to arbitration in the Philippines according to the provisions of R.A. 876, otherwise known as the "Arbitration Law" and R.A. 9285, otherwise known as the “Alternative Dispute Resolution Act of 2004”: </w:t>
      </w:r>
      <w:r>
        <w:rPr>
          <w:i/>
          <w:iCs/>
        </w:rPr>
        <w:t>Provided</w:t>
      </w:r>
      <w:r>
        <w:rPr>
          <w:rStyle w:val="NoneA"/>
        </w:rPr>
        <w:t xml:space="preserve">, however, That disputes that are within the competence of the </w:t>
      </w:r>
      <w:r>
        <w:rPr>
          <w:i/>
          <w:iCs/>
        </w:rPr>
        <w:t>Construction Industry Arbitration Commission</w:t>
      </w:r>
      <w:r>
        <w:rPr>
          <w:rStyle w:val="NoneA"/>
        </w:rPr>
        <w:t xml:space="preserve"> to resolve shall be referred thereto.</w:t>
      </w:r>
    </w:p>
    <w:p w:rsidR="005148A4" w:rsidRDefault="00EB735E">
      <w:pPr>
        <w:pStyle w:val="BodyA"/>
      </w:pPr>
      <w:r>
        <w:rPr>
          <w:rStyle w:val="NoneA"/>
        </w:rPr>
        <w:t>Section 3.</w:t>
      </w:r>
      <w:r>
        <w:rPr>
          <w:i/>
          <w:iCs/>
        </w:rPr>
        <w:t xml:space="preserve"> Alternative modes of dispute resolution. - </w:t>
      </w:r>
      <w:r>
        <w:rPr>
          <w:rStyle w:val="NoneA"/>
        </w:rPr>
        <w:t xml:space="preserve">The parties, by mutual Contract, may agree in writing to resort to other alternative modes of dispute resolution. </w:t>
      </w:r>
    </w:p>
    <w:p w:rsidR="005148A4" w:rsidRDefault="00EB735E">
      <w:pPr>
        <w:pStyle w:val="BodyA"/>
      </w:pPr>
      <w:r>
        <w:rPr>
          <w:rStyle w:val="NoneA"/>
        </w:rPr>
        <w:t xml:space="preserve">Section 4. </w:t>
      </w:r>
      <w:r>
        <w:rPr>
          <w:i/>
          <w:iCs/>
        </w:rPr>
        <w:t>Appeal from the arbitral award</w:t>
      </w:r>
      <w:r>
        <w:rPr>
          <w:rStyle w:val="NoneA"/>
        </w:rPr>
        <w:t>.</w:t>
      </w:r>
      <w:r>
        <w:rPr>
          <w:rFonts w:eastAsia="Spectral Regular" w:cs="Spectral Regular"/>
          <w:vertAlign w:val="superscript"/>
        </w:rPr>
        <w:footnoteReference w:id="18"/>
      </w:r>
      <w:r>
        <w:rPr>
          <w:rStyle w:val="NoneA"/>
        </w:rPr>
        <w:t xml:space="preserve"> - The arbitral award and any decision rendered in accordance with the foregoing Sections 2 and 3 shall be appealable by way of a </w:t>
      </w:r>
      <w:r>
        <w:rPr>
          <w:i/>
          <w:iCs/>
        </w:rPr>
        <w:t>petition for review</w:t>
      </w:r>
      <w:r>
        <w:rPr>
          <w:rStyle w:val="NoneA"/>
        </w:rPr>
        <w:t xml:space="preserve"> to the Court of Appeals. The petition shall raise </w:t>
      </w:r>
      <w:r>
        <w:rPr>
          <w:i/>
          <w:iCs/>
        </w:rPr>
        <w:t xml:space="preserve">only </w:t>
      </w:r>
      <w:r>
        <w:rPr>
          <w:rStyle w:val="NoneA"/>
        </w:rPr>
        <w:t xml:space="preserve">pure questions of law and shall be governed by the Rules of Court. </w:t>
      </w:r>
    </w:p>
    <w:p w:rsidR="005148A4" w:rsidRDefault="00EB735E">
      <w:pPr>
        <w:pStyle w:val="Default"/>
        <w:widowControl w:val="0"/>
        <w:spacing w:before="0"/>
        <w:ind w:left="127" w:right="106" w:firstLine="720"/>
        <w:jc w:val="both"/>
        <w:rPr>
          <w:rFonts w:ascii="Spectral Regular" w:eastAsia="Spectral Regular" w:hAnsi="Spectral Regular" w:cs="Spectral Regular"/>
        </w:rPr>
      </w:pPr>
      <w:r>
        <w:rPr>
          <w:rFonts w:ascii="Spectral Regular" w:hAnsi="Spectral Regular"/>
        </w:rPr>
        <w:t xml:space="preserve">Section 5. </w:t>
      </w:r>
      <w:r>
        <w:rPr>
          <w:rFonts w:ascii="Spectral Regular" w:hAnsi="Spectral Regular"/>
          <w:i/>
          <w:iCs/>
        </w:rPr>
        <w:t xml:space="preserve">Enforcement of arbitral award </w:t>
      </w:r>
      <w:r>
        <w:rPr>
          <w:rFonts w:ascii="Spectral Regular" w:hAnsi="Spectral Regular"/>
        </w:rPr>
        <w:t xml:space="preserve">- </w:t>
      </w:r>
    </w:p>
    <w:p w:rsidR="005148A4" w:rsidRDefault="00EB735E">
      <w:pPr>
        <w:pStyle w:val="Default"/>
        <w:widowControl w:val="0"/>
        <w:numPr>
          <w:ilvl w:val="0"/>
          <w:numId w:val="29"/>
        </w:numPr>
        <w:spacing w:before="0"/>
        <w:ind w:right="101"/>
        <w:jc w:val="both"/>
        <w:rPr>
          <w:rFonts w:ascii="Spectral Regular" w:hAnsi="Spectral Regular"/>
        </w:rPr>
      </w:pPr>
      <w:r>
        <w:rPr>
          <w:rFonts w:ascii="Spectral Regular" w:hAnsi="Spectral Regular"/>
        </w:rPr>
        <w:t>The enforcement of the arbitral award shall immediately be complied with by the party/</w:t>
      </w:r>
      <w:proofErr w:type="spellStart"/>
      <w:r>
        <w:rPr>
          <w:rFonts w:ascii="Spectral Regular" w:hAnsi="Spectral Regular"/>
        </w:rPr>
        <w:t>ies</w:t>
      </w:r>
      <w:proofErr w:type="spellEnd"/>
      <w:r>
        <w:rPr>
          <w:rFonts w:ascii="Spectral Regular" w:hAnsi="Spectral Regular"/>
        </w:rPr>
        <w:t xml:space="preserve"> in accordance with its terms and conditions.</w:t>
      </w:r>
    </w:p>
    <w:p w:rsidR="005148A4" w:rsidRDefault="00EB735E">
      <w:pPr>
        <w:pStyle w:val="Default"/>
        <w:widowControl w:val="0"/>
        <w:numPr>
          <w:ilvl w:val="0"/>
          <w:numId w:val="27"/>
        </w:numPr>
        <w:spacing w:before="0"/>
        <w:ind w:right="101"/>
        <w:jc w:val="both"/>
        <w:rPr>
          <w:rFonts w:ascii="Spectral Regular" w:hAnsi="Spectral Regular"/>
        </w:rPr>
      </w:pPr>
      <w:r>
        <w:rPr>
          <w:rFonts w:ascii="Spectral Regular" w:hAnsi="Spectral Regular"/>
        </w:rPr>
        <w:t xml:space="preserve">If a party is constrained to resort to the appropriate court for the enforcement of the arbitral award, the venue shall be in the proper court in the City of Manila, to the exclusion of any other venue. </w:t>
      </w:r>
    </w:p>
    <w:p w:rsidR="005148A4" w:rsidRDefault="00EB735E">
      <w:pPr>
        <w:pStyle w:val="Default"/>
        <w:widowControl w:val="0"/>
        <w:numPr>
          <w:ilvl w:val="0"/>
          <w:numId w:val="27"/>
        </w:numPr>
        <w:spacing w:before="0"/>
        <w:ind w:right="101"/>
        <w:jc w:val="both"/>
        <w:rPr>
          <w:rFonts w:ascii="Spectral Regular" w:hAnsi="Spectral Regular"/>
        </w:rPr>
      </w:pPr>
      <w:r>
        <w:rPr>
          <w:rFonts w:ascii="Spectral Regular" w:hAnsi="Spectral Regular"/>
        </w:rPr>
        <w:t>The amount due to a party based on the arbitral award shall be subject to a 2% monthly interest, compounded monthly, for delay in payment from the date it is due reckoned from the date of finality of the arbitral award or the date indicated in the arbitral award.  If the arbitral award is appealed to the Court of Appeals and then to the Supreme Court, the reckoning date would retroact to the dates in the preceding sentence unless the decision of the court indicates otherwise.</w:t>
      </w:r>
    </w:p>
    <w:p w:rsidR="005148A4" w:rsidRDefault="00EB735E">
      <w:pPr>
        <w:pStyle w:val="Default"/>
        <w:widowControl w:val="0"/>
        <w:numPr>
          <w:ilvl w:val="0"/>
          <w:numId w:val="27"/>
        </w:numPr>
        <w:spacing w:before="0"/>
        <w:ind w:right="101"/>
        <w:jc w:val="both"/>
        <w:rPr>
          <w:rFonts w:ascii="Spectral Regular" w:hAnsi="Spectral Regular"/>
        </w:rPr>
      </w:pPr>
      <w:r>
        <w:rPr>
          <w:rFonts w:ascii="Spectral Regular" w:hAnsi="Spectral Regular"/>
        </w:rPr>
        <w:t>Expenses incurred by a party to enforce the arbitral award through the appropriate court shall be charged to the non-complying party which shall likewise be subject to a 2% monthly interest, compounded monthly, for delay in payment from the date it is due.</w:t>
      </w:r>
    </w:p>
    <w:p w:rsidR="005148A4" w:rsidRDefault="00EB735E">
      <w:pPr>
        <w:pStyle w:val="Subtitle"/>
      </w:pPr>
      <w:bookmarkStart w:id="24" w:name="_Toc24"/>
      <w:r>
        <w:rPr>
          <w:rStyle w:val="NoneA"/>
          <w:rFonts w:eastAsia="Arial Unicode MS" w:cs="Arial Unicode MS"/>
        </w:rPr>
        <w:t>ARTICLE 26 - Miscellaneous provisions</w:t>
      </w:r>
      <w:bookmarkEnd w:id="24"/>
    </w:p>
    <w:p w:rsidR="005148A4" w:rsidRDefault="00EB735E">
      <w:pPr>
        <w:pStyle w:val="BodyA"/>
      </w:pPr>
      <w:r>
        <w:rPr>
          <w:rStyle w:val="NoneA"/>
        </w:rPr>
        <w:lastRenderedPageBreak/>
        <w:t xml:space="preserve">Section 1. </w:t>
      </w:r>
      <w:r>
        <w:rPr>
          <w:i/>
          <w:iCs/>
        </w:rPr>
        <w:t xml:space="preserve">Amendments </w:t>
      </w:r>
      <w:r>
        <w:rPr>
          <w:rStyle w:val="NoneA"/>
        </w:rPr>
        <w:t>- This Contract may only be amended or supplemented only in writing and signed by the Parties.</w:t>
      </w:r>
    </w:p>
    <w:p w:rsidR="005148A4" w:rsidRDefault="00EB735E">
      <w:pPr>
        <w:pStyle w:val="BodyA"/>
      </w:pPr>
      <w:r>
        <w:rPr>
          <w:rStyle w:val="NoneA"/>
        </w:rPr>
        <w:t xml:space="preserve">Section 2. </w:t>
      </w:r>
      <w:r>
        <w:rPr>
          <w:i/>
          <w:iCs/>
        </w:rPr>
        <w:t xml:space="preserve">Severability </w:t>
      </w:r>
      <w:r>
        <w:rPr>
          <w:rStyle w:val="NoneA"/>
        </w:rPr>
        <w:t>-</w:t>
      </w:r>
      <w:r>
        <w:rPr>
          <w:spacing w:val="40"/>
        </w:rPr>
        <w:t xml:space="preserve"> If any</w:t>
      </w:r>
      <w:r>
        <w:rPr>
          <w:rStyle w:val="NoneA"/>
        </w:rPr>
        <w:t xml:space="preserve"> part of this Contract</w:t>
      </w:r>
      <w:r>
        <w:rPr>
          <w:spacing w:val="-3"/>
        </w:rPr>
        <w:t xml:space="preserve"> is declared </w:t>
      </w:r>
      <w:r>
        <w:rPr>
          <w:rStyle w:val="NoneA"/>
        </w:rPr>
        <w:t xml:space="preserve">unenforceable, or invalid, the </w:t>
      </w:r>
      <w:proofErr w:type="gramStart"/>
      <w:r>
        <w:rPr>
          <w:rStyle w:val="NoneA"/>
        </w:rPr>
        <w:t>remainder  of</w:t>
      </w:r>
      <w:proofErr w:type="gramEnd"/>
      <w:r>
        <w:rPr>
          <w:rStyle w:val="NoneA"/>
        </w:rPr>
        <w:t xml:space="preserve"> the Contract will continue to be valid and enforceable.</w:t>
      </w:r>
    </w:p>
    <w:p w:rsidR="005148A4" w:rsidRDefault="00EB735E">
      <w:pPr>
        <w:pStyle w:val="BodyA"/>
      </w:pPr>
      <w:r>
        <w:rPr>
          <w:rStyle w:val="NoneA"/>
        </w:rPr>
        <w:t xml:space="preserve">Section 3. </w:t>
      </w:r>
      <w:r>
        <w:rPr>
          <w:i/>
          <w:iCs/>
        </w:rPr>
        <w:t xml:space="preserve">Interpretation </w:t>
      </w:r>
      <w:r>
        <w:rPr>
          <w:rStyle w:val="NoneA"/>
        </w:rPr>
        <w:t>- This Contract shall be interpreted in harmony with Applicable Laws.</w:t>
      </w:r>
    </w:p>
    <w:p w:rsidR="005148A4" w:rsidRDefault="00EB735E">
      <w:pPr>
        <w:pStyle w:val="BodyA"/>
      </w:pPr>
      <w:r>
        <w:rPr>
          <w:rStyle w:val="NoneA"/>
        </w:rPr>
        <w:t xml:space="preserve">Section 4. </w:t>
      </w:r>
      <w:r>
        <w:rPr>
          <w:i/>
          <w:iCs/>
        </w:rPr>
        <w:t xml:space="preserve">Headings </w:t>
      </w:r>
      <w:r>
        <w:rPr>
          <w:rStyle w:val="NoneA"/>
        </w:rPr>
        <w:t xml:space="preserve">- The headings of Articles and subheadings within an </w:t>
      </w:r>
      <w:proofErr w:type="gramStart"/>
      <w:r>
        <w:rPr>
          <w:rStyle w:val="NoneA"/>
        </w:rPr>
        <w:t>Article</w:t>
      </w:r>
      <w:proofErr w:type="gramEnd"/>
      <w:r>
        <w:rPr>
          <w:rStyle w:val="NoneA"/>
        </w:rPr>
        <w:t xml:space="preserve"> are for convenience and reference only and are not considered when interpreting this Contract.</w:t>
      </w:r>
    </w:p>
    <w:p w:rsidR="005148A4" w:rsidRDefault="00EB735E">
      <w:pPr>
        <w:pStyle w:val="BodyA"/>
      </w:pPr>
      <w:r>
        <w:rPr>
          <w:rStyle w:val="NoneA"/>
        </w:rPr>
        <w:t xml:space="preserve">Section 5. </w:t>
      </w:r>
      <w:r>
        <w:rPr>
          <w:i/>
          <w:iCs/>
        </w:rPr>
        <w:t xml:space="preserve">Non-waiver </w:t>
      </w:r>
      <w:r>
        <w:rPr>
          <w:rStyle w:val="NoneA"/>
        </w:rPr>
        <w:t>- Inaction by a Party on a breach by the other Party of any provision of this Contract shall not constitute a waiver on its enforcement.</w:t>
      </w:r>
    </w:p>
    <w:p w:rsidR="005148A4" w:rsidRDefault="00EB735E">
      <w:pPr>
        <w:pStyle w:val="BodyA"/>
      </w:pPr>
      <w:r>
        <w:rPr>
          <w:rStyle w:val="NoneA"/>
        </w:rPr>
        <w:t xml:space="preserve">Section 6. </w:t>
      </w:r>
      <w:r>
        <w:rPr>
          <w:i/>
          <w:iCs/>
        </w:rPr>
        <w:t xml:space="preserve">Entire Contract </w:t>
      </w:r>
      <w:r>
        <w:rPr>
          <w:rStyle w:val="NoneA"/>
        </w:rPr>
        <w:t>- This Contract and its Contract Documents embody the entire Contract of the parties and supersede previous all prior communications, contracts, or agreements between the parties with respect to the subject matter addressed in this Contract, whether oral or written.</w:t>
      </w:r>
    </w:p>
    <w:p w:rsidR="005148A4" w:rsidRDefault="00EB735E">
      <w:pPr>
        <w:pStyle w:val="BodyA"/>
      </w:pPr>
      <w:r>
        <w:rPr>
          <w:rStyle w:val="NoneA"/>
        </w:rPr>
        <w:t xml:space="preserve">Section 7. </w:t>
      </w:r>
      <w:r>
        <w:rPr>
          <w:i/>
          <w:iCs/>
        </w:rPr>
        <w:t>Survival of</w:t>
      </w:r>
      <w:r>
        <w:rPr>
          <w:i/>
          <w:iCs/>
          <w:spacing w:val="-4"/>
        </w:rPr>
        <w:t xml:space="preserve"> </w:t>
      </w:r>
      <w:r>
        <w:rPr>
          <w:i/>
          <w:iCs/>
        </w:rPr>
        <w:t>provisions</w:t>
      </w:r>
      <w:r>
        <w:rPr>
          <w:i/>
          <w:iCs/>
          <w:spacing w:val="-3"/>
        </w:rPr>
        <w:t xml:space="preserve"> </w:t>
      </w:r>
      <w:r>
        <w:rPr>
          <w:rStyle w:val="NoneA"/>
        </w:rPr>
        <w:t>—</w:t>
      </w:r>
      <w:r>
        <w:rPr>
          <w:spacing w:val="-5"/>
        </w:rPr>
        <w:t xml:space="preserve"> </w:t>
      </w:r>
      <w:r>
        <w:rPr>
          <w:rStyle w:val="NoneA"/>
        </w:rPr>
        <w:t>All</w:t>
      </w:r>
      <w:r>
        <w:rPr>
          <w:spacing w:val="-5"/>
        </w:rPr>
        <w:t xml:space="preserve"> </w:t>
      </w:r>
      <w:r>
        <w:rPr>
          <w:rStyle w:val="NoneA"/>
        </w:rPr>
        <w:t>provisions</w:t>
      </w:r>
      <w:r>
        <w:rPr>
          <w:spacing w:val="-5"/>
        </w:rPr>
        <w:t xml:space="preserve"> </w:t>
      </w:r>
      <w:r>
        <w:rPr>
          <w:rStyle w:val="NoneA"/>
        </w:rPr>
        <w:t>relating</w:t>
      </w:r>
      <w:r>
        <w:rPr>
          <w:spacing w:val="-5"/>
        </w:rPr>
        <w:t xml:space="preserve"> </w:t>
      </w:r>
      <w:r>
        <w:rPr>
          <w:rStyle w:val="NoneA"/>
        </w:rPr>
        <w:t>to</w:t>
      </w:r>
      <w:r>
        <w:rPr>
          <w:spacing w:val="-5"/>
        </w:rPr>
        <w:t xml:space="preserve"> </w:t>
      </w:r>
      <w:r>
        <w:rPr>
          <w:rStyle w:val="NoneA"/>
        </w:rPr>
        <w:t>the</w:t>
      </w:r>
      <w:r>
        <w:rPr>
          <w:spacing w:val="-5"/>
        </w:rPr>
        <w:t xml:space="preserve"> </w:t>
      </w:r>
      <w:r>
        <w:rPr>
          <w:rStyle w:val="NoneA"/>
        </w:rPr>
        <w:t>rights</w:t>
      </w:r>
      <w:r>
        <w:rPr>
          <w:spacing w:val="-5"/>
        </w:rPr>
        <w:t xml:space="preserve"> </w:t>
      </w:r>
      <w:r>
        <w:rPr>
          <w:rStyle w:val="NoneA"/>
        </w:rPr>
        <w:t>and</w:t>
      </w:r>
      <w:r>
        <w:rPr>
          <w:spacing w:val="-5"/>
        </w:rPr>
        <w:t xml:space="preserve"> </w:t>
      </w:r>
      <w:r>
        <w:rPr>
          <w:rStyle w:val="NoneA"/>
        </w:rPr>
        <w:t>obligations</w:t>
      </w:r>
      <w:r>
        <w:rPr>
          <w:spacing w:val="-5"/>
        </w:rPr>
        <w:t xml:space="preserve"> </w:t>
      </w:r>
      <w:r>
        <w:rPr>
          <w:rStyle w:val="NoneA"/>
        </w:rPr>
        <w:t>of the parties and their enforcement shall survive after the termination of this Contract.</w:t>
      </w:r>
    </w:p>
    <w:p w:rsidR="005148A4" w:rsidRDefault="00EB735E">
      <w:pPr>
        <w:pStyle w:val="BodyA"/>
      </w:pPr>
      <w:r>
        <w:rPr>
          <w:rStyle w:val="NoneA"/>
        </w:rPr>
        <w:t xml:space="preserve">Section 8. </w:t>
      </w:r>
      <w:r>
        <w:rPr>
          <w:i/>
          <w:iCs/>
        </w:rPr>
        <w:t xml:space="preserve">Copies </w:t>
      </w:r>
      <w:r>
        <w:rPr>
          <w:rStyle w:val="NoneA"/>
        </w:rPr>
        <w:t>- This Contract may be signed and notarized separately by the parties and both copies shall be considered as original.</w:t>
      </w:r>
    </w:p>
    <w:p w:rsidR="005148A4" w:rsidRDefault="00EB735E">
      <w:pPr>
        <w:pStyle w:val="BodyA"/>
      </w:pPr>
      <w:r>
        <w:rPr>
          <w:rStyle w:val="NoneA"/>
        </w:rPr>
        <w:t xml:space="preserve">Section 9. </w:t>
      </w:r>
      <w:r>
        <w:rPr>
          <w:i/>
          <w:iCs/>
        </w:rPr>
        <w:t xml:space="preserve">Signatories </w:t>
      </w:r>
      <w:r>
        <w:rPr>
          <w:rStyle w:val="NoneA"/>
        </w:rPr>
        <w:t>- [1] The PROCURING ENTITY is represented by the Vice-Chancellor for Administration of the University of the Philippines Manila as authorized by the University of the Philippines</w:t>
      </w:r>
      <w:r>
        <w:rPr>
          <w:spacing w:val="-2"/>
        </w:rPr>
        <w:t xml:space="preserve"> </w:t>
      </w:r>
      <w:r>
        <w:rPr>
          <w:rStyle w:val="NoneA"/>
        </w:rPr>
        <w:t>Board</w:t>
      </w:r>
      <w:r>
        <w:rPr>
          <w:spacing w:val="-1"/>
        </w:rPr>
        <w:t xml:space="preserve"> </w:t>
      </w:r>
      <w:r>
        <w:rPr>
          <w:rStyle w:val="NoneA"/>
        </w:rPr>
        <w:t>of</w:t>
      </w:r>
      <w:r>
        <w:rPr>
          <w:spacing w:val="-2"/>
        </w:rPr>
        <w:t xml:space="preserve"> </w:t>
      </w:r>
      <w:r>
        <w:rPr>
          <w:rStyle w:val="NoneA"/>
        </w:rPr>
        <w:t>Regents.</w:t>
      </w:r>
      <w:r>
        <w:rPr>
          <w:spacing w:val="-1"/>
        </w:rPr>
        <w:t xml:space="preserve"> </w:t>
      </w:r>
      <w:r>
        <w:rPr>
          <w:rStyle w:val="NoneA"/>
        </w:rPr>
        <w:t>[2]</w:t>
      </w:r>
      <w:r>
        <w:rPr>
          <w:spacing w:val="-2"/>
        </w:rPr>
        <w:t xml:space="preserve"> </w:t>
      </w:r>
      <w:r>
        <w:rPr>
          <w:rStyle w:val="NoneA"/>
        </w:rPr>
        <w:t>The</w:t>
      </w:r>
      <w:r>
        <w:rPr>
          <w:spacing w:val="-1"/>
        </w:rPr>
        <w:t xml:space="preserve"> </w:t>
      </w:r>
      <w:r>
        <w:rPr>
          <w:rStyle w:val="NoneA"/>
        </w:rPr>
        <w:t>CONTRACTOR</w:t>
      </w:r>
      <w:r>
        <w:rPr>
          <w:spacing w:val="-2"/>
        </w:rPr>
        <w:t xml:space="preserve"> </w:t>
      </w:r>
      <w:r>
        <w:rPr>
          <w:rStyle w:val="NoneA"/>
        </w:rPr>
        <w:t>is</w:t>
      </w:r>
      <w:r>
        <w:rPr>
          <w:spacing w:val="-1"/>
        </w:rPr>
        <w:t xml:space="preserve"> </w:t>
      </w:r>
      <w:r>
        <w:rPr>
          <w:rStyle w:val="NoneA"/>
        </w:rPr>
        <w:t>represented</w:t>
      </w:r>
      <w:r>
        <w:rPr>
          <w:spacing w:val="-2"/>
        </w:rPr>
        <w:t xml:space="preserve"> </w:t>
      </w:r>
      <w:r>
        <w:rPr>
          <w:rStyle w:val="NoneA"/>
        </w:rPr>
        <w:t>by</w:t>
      </w:r>
      <w:r>
        <w:rPr>
          <w:spacing w:val="-1"/>
        </w:rPr>
        <w:t xml:space="preserve"> </w:t>
      </w:r>
      <w:r>
        <w:rPr>
          <w:rStyle w:val="NoneA"/>
        </w:rPr>
        <w:t>its</w:t>
      </w:r>
      <w:r>
        <w:rPr>
          <w:spacing w:val="-2"/>
        </w:rPr>
        <w:t xml:space="preserve"> </w:t>
      </w:r>
      <w:r>
        <w:rPr>
          <w:rStyle w:val="NoneA"/>
        </w:rPr>
        <w:t>General</w:t>
      </w:r>
      <w:r>
        <w:rPr>
          <w:spacing w:val="-1"/>
        </w:rPr>
        <w:t xml:space="preserve"> </w:t>
      </w:r>
      <w:r>
        <w:rPr>
          <w:spacing w:val="-2"/>
        </w:rPr>
        <w:t>Manager.</w:t>
      </w:r>
    </w:p>
    <w:p w:rsidR="005148A4" w:rsidRDefault="00EB735E">
      <w:pPr>
        <w:pStyle w:val="BodyA"/>
      </w:pPr>
      <w:r>
        <w:rPr>
          <w:rStyle w:val="NoneA"/>
        </w:rPr>
        <w:t>Section 10. Notices</w:t>
      </w:r>
      <w:r>
        <w:rPr>
          <w:spacing w:val="-3"/>
        </w:rPr>
        <w:t xml:space="preserve"> </w:t>
      </w:r>
      <w:r>
        <w:rPr>
          <w:rStyle w:val="NoneA"/>
        </w:rPr>
        <w:t>-</w:t>
      </w:r>
      <w:r>
        <w:rPr>
          <w:spacing w:val="-3"/>
        </w:rPr>
        <w:t xml:space="preserve"> </w:t>
      </w:r>
      <w:r>
        <w:rPr>
          <w:rStyle w:val="NoneA"/>
        </w:rPr>
        <w:t>[1]</w:t>
      </w:r>
      <w:r>
        <w:rPr>
          <w:spacing w:val="-3"/>
        </w:rPr>
        <w:t xml:space="preserve"> </w:t>
      </w:r>
      <w:r>
        <w:rPr>
          <w:rStyle w:val="NoneA"/>
        </w:rPr>
        <w:t>All</w:t>
      </w:r>
      <w:r>
        <w:rPr>
          <w:spacing w:val="-3"/>
        </w:rPr>
        <w:t xml:space="preserve"> </w:t>
      </w:r>
      <w:r>
        <w:rPr>
          <w:rStyle w:val="NoneA"/>
        </w:rPr>
        <w:t>notices</w:t>
      </w:r>
      <w:r>
        <w:rPr>
          <w:spacing w:val="-3"/>
        </w:rPr>
        <w:t xml:space="preserve"> </w:t>
      </w:r>
      <w:r>
        <w:rPr>
          <w:rStyle w:val="NoneA"/>
        </w:rPr>
        <w:t>and</w:t>
      </w:r>
      <w:r>
        <w:rPr>
          <w:spacing w:val="-3"/>
        </w:rPr>
        <w:t xml:space="preserve"> </w:t>
      </w:r>
      <w:r>
        <w:rPr>
          <w:rStyle w:val="NoneA"/>
        </w:rPr>
        <w:t>communications</w:t>
      </w:r>
      <w:r>
        <w:rPr>
          <w:spacing w:val="-3"/>
        </w:rPr>
        <w:t xml:space="preserve"> </w:t>
      </w:r>
      <w:r>
        <w:rPr>
          <w:rStyle w:val="NoneA"/>
        </w:rPr>
        <w:t>between</w:t>
      </w:r>
      <w:r>
        <w:rPr>
          <w:spacing w:val="-3"/>
        </w:rPr>
        <w:t xml:space="preserve"> </w:t>
      </w:r>
      <w:r>
        <w:rPr>
          <w:rStyle w:val="NoneA"/>
        </w:rPr>
        <w:t>the</w:t>
      </w:r>
      <w:r>
        <w:rPr>
          <w:spacing w:val="-3"/>
        </w:rPr>
        <w:t xml:space="preserve"> </w:t>
      </w:r>
      <w:r>
        <w:rPr>
          <w:rStyle w:val="NoneA"/>
        </w:rPr>
        <w:t>parties</w:t>
      </w:r>
      <w:r>
        <w:rPr>
          <w:spacing w:val="-3"/>
        </w:rPr>
        <w:t xml:space="preserve"> </w:t>
      </w:r>
      <w:r>
        <w:rPr>
          <w:rStyle w:val="NoneA"/>
        </w:rPr>
        <w:t>shall</w:t>
      </w:r>
      <w:r>
        <w:rPr>
          <w:spacing w:val="-3"/>
        </w:rPr>
        <w:t xml:space="preserve"> </w:t>
      </w:r>
      <w:r>
        <w:rPr>
          <w:rStyle w:val="NoneA"/>
        </w:rPr>
        <w:t>be</w:t>
      </w:r>
      <w:r>
        <w:rPr>
          <w:spacing w:val="-3"/>
        </w:rPr>
        <w:t xml:space="preserve"> </w:t>
      </w:r>
      <w:r>
        <w:rPr>
          <w:rStyle w:val="NoneA"/>
        </w:rPr>
        <w:t>in writing or through e-mail and sent to the addresses stated in this Contract which shall be deemed received upon actual receipt by the party or through its employees or agents. Those sent by email are deemed received after the lapse of 48 hours after</w:t>
      </w:r>
      <w:r>
        <w:rPr>
          <w:spacing w:val="-3"/>
        </w:rPr>
        <w:t xml:space="preserve"> </w:t>
      </w:r>
      <w:r>
        <w:rPr>
          <w:rStyle w:val="NoneA"/>
        </w:rPr>
        <w:t>it</w:t>
      </w:r>
      <w:r>
        <w:rPr>
          <w:spacing w:val="-3"/>
        </w:rPr>
        <w:t xml:space="preserve"> </w:t>
      </w:r>
      <w:r>
        <w:rPr>
          <w:rStyle w:val="NoneA"/>
        </w:rPr>
        <w:t>is</w:t>
      </w:r>
      <w:r>
        <w:rPr>
          <w:spacing w:val="-3"/>
        </w:rPr>
        <w:t xml:space="preserve"> </w:t>
      </w:r>
      <w:r>
        <w:rPr>
          <w:rStyle w:val="NoneA"/>
        </w:rPr>
        <w:t>sent.</w:t>
      </w:r>
      <w:r>
        <w:rPr>
          <w:spacing w:val="-3"/>
        </w:rPr>
        <w:t xml:space="preserve"> </w:t>
      </w:r>
      <w:r>
        <w:rPr>
          <w:rStyle w:val="NoneA"/>
        </w:rPr>
        <w:t>[2]</w:t>
      </w:r>
      <w:r>
        <w:rPr>
          <w:spacing w:val="-3"/>
        </w:rPr>
        <w:t xml:space="preserve"> </w:t>
      </w:r>
      <w:r>
        <w:rPr>
          <w:rStyle w:val="NoneA"/>
        </w:rPr>
        <w:t>For</w:t>
      </w:r>
      <w:r>
        <w:rPr>
          <w:spacing w:val="-3"/>
        </w:rPr>
        <w:t xml:space="preserve"> </w:t>
      </w:r>
      <w:r>
        <w:rPr>
          <w:rStyle w:val="NoneA"/>
        </w:rPr>
        <w:t>this</w:t>
      </w:r>
      <w:r>
        <w:rPr>
          <w:spacing w:val="-3"/>
        </w:rPr>
        <w:t xml:space="preserve"> </w:t>
      </w:r>
      <w:r>
        <w:rPr>
          <w:rStyle w:val="NoneA"/>
        </w:rPr>
        <w:t>purpose,</w:t>
      </w:r>
      <w:r>
        <w:rPr>
          <w:spacing w:val="-3"/>
        </w:rPr>
        <w:t xml:space="preserve"> </w:t>
      </w:r>
      <w:r>
        <w:rPr>
          <w:rStyle w:val="NoneA"/>
        </w:rPr>
        <w:t>the email addresses of the parties are: the</w:t>
      </w:r>
      <w:r>
        <w:rPr>
          <w:spacing w:val="40"/>
        </w:rPr>
        <w:t xml:space="preserve"> </w:t>
      </w:r>
      <w:r>
        <w:rPr>
          <w:rStyle w:val="NoneA"/>
        </w:rPr>
        <w:t>PROCURING ENTITY (upm-ovca@up.edu.ph) and CONTRACTOR (</w:t>
      </w:r>
      <w:hyperlink r:id="rId7" w:history="1">
        <w:r>
          <w:rPr>
            <w:rStyle w:val="Hyperlink0"/>
          </w:rPr>
          <w:t>ayzariz@gmail.com</w:t>
        </w:r>
      </w:hyperlink>
      <w:r>
        <w:rPr>
          <w:rStyle w:val="NoneA"/>
        </w:rPr>
        <w:t>) [3] Any changes of address/email address shall only be eﬀective upon receipt of notice of change of address/email address by a party.</w:t>
      </w:r>
    </w:p>
    <w:p w:rsidR="005148A4" w:rsidRDefault="00EB735E">
      <w:pPr>
        <w:pStyle w:val="Subtitle"/>
        <w:rPr>
          <w:rStyle w:val="NoneA"/>
        </w:rPr>
      </w:pPr>
      <w:bookmarkStart w:id="25" w:name="_Toc25"/>
      <w:r>
        <w:rPr>
          <w:rStyle w:val="NoneA"/>
          <w:rFonts w:eastAsia="Arial Unicode MS" w:cs="Arial Unicode MS"/>
        </w:rPr>
        <w:t>ARTICLE 27 - Effectivity</w:t>
      </w:r>
      <w:bookmarkEnd w:id="25"/>
    </w:p>
    <w:p w:rsidR="005148A4" w:rsidRDefault="00EB735E">
      <w:pPr>
        <w:pStyle w:val="Default"/>
        <w:widowControl w:val="0"/>
        <w:spacing w:before="0"/>
        <w:ind w:left="127" w:right="100" w:firstLine="720"/>
        <w:jc w:val="both"/>
        <w:rPr>
          <w:rStyle w:val="None"/>
          <w:rFonts w:ascii="Spectral Regular" w:eastAsia="Spectral Regular" w:hAnsi="Spectral Regular" w:cs="Spectral Regular"/>
        </w:rPr>
      </w:pPr>
      <w:r>
        <w:rPr>
          <w:rStyle w:val="None"/>
          <w:rFonts w:ascii="Spectral Regular" w:hAnsi="Spectral Regular"/>
        </w:rPr>
        <w:t>Section 1. The Eﬀective Date of this Contract shall be reckoned on the date of signing by the parties or on the date when the last party signed this Contract. If the parties sign undated, the date of eﬀectivity shall be the date of notarization of this Con</w:t>
      </w:r>
      <w:r>
        <w:rPr>
          <w:rStyle w:val="None"/>
          <w:rFonts w:ascii="Spectral Regular" w:hAnsi="Spectral Regular"/>
        </w:rPr>
        <w:lastRenderedPageBreak/>
        <w:t>tract or if the parties separately notarized this Contract, on the latest date of its notarization.</w:t>
      </w:r>
    </w:p>
    <w:p w:rsidR="005148A4" w:rsidRDefault="00EB735E">
      <w:pPr>
        <w:pStyle w:val="Default"/>
        <w:widowControl w:val="0"/>
        <w:spacing w:before="0"/>
        <w:ind w:left="127" w:right="100" w:firstLine="720"/>
        <w:jc w:val="both"/>
        <w:rPr>
          <w:rStyle w:val="None"/>
          <w:rFonts w:ascii="Spectral Regular" w:eastAsia="Spectral Regular" w:hAnsi="Spectral Regular" w:cs="Spectral Regular"/>
        </w:rPr>
      </w:pPr>
      <w:r>
        <w:rPr>
          <w:rStyle w:val="None"/>
          <w:rFonts w:ascii="Spectral Regular" w:hAnsi="Spectral Regular"/>
        </w:rPr>
        <w:t>IN WITNESS WHEREOF, the parties have hereunto aﬃxed their signatures on the date and place stated below:</w:t>
      </w:r>
    </w:p>
    <w:p w:rsidR="005148A4" w:rsidRDefault="005148A4">
      <w:pPr>
        <w:pStyle w:val="Default"/>
        <w:widowControl w:val="0"/>
        <w:spacing w:before="0"/>
        <w:ind w:left="127" w:right="100" w:firstLine="720"/>
        <w:jc w:val="both"/>
        <w:rPr>
          <w:rStyle w:val="None"/>
          <w:rFonts w:ascii="Spectral Regular" w:eastAsia="Spectral Regular" w:hAnsi="Spectral Regular" w:cs="Spectral Regular"/>
        </w:rPr>
      </w:pPr>
    </w:p>
    <w:p w:rsidR="005148A4" w:rsidRDefault="00EB735E">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Pr>
      </w:pPr>
      <w:r>
        <w:rPr>
          <w:rStyle w:val="None"/>
        </w:rPr>
        <w:t xml:space="preserve">UNIVERSITY OF </w:t>
      </w:r>
      <w:r>
        <w:rPr>
          <w:rStyle w:val="None"/>
          <w:lang w:val="de-DE"/>
        </w:rPr>
        <w:t>THE</w:t>
      </w:r>
      <w:r>
        <w:rPr>
          <w:rStyle w:val="None"/>
        </w:rPr>
        <w:t xml:space="preserve"> PHILIPPINES</w:t>
      </w:r>
      <w:r>
        <w:rPr>
          <w:rStyle w:val="None"/>
        </w:rPr>
        <w:tab/>
      </w:r>
      <w:r>
        <w:rPr>
          <w:rStyle w:val="None"/>
        </w:rPr>
        <w:tab/>
      </w:r>
      <w:r>
        <w:rPr>
          <w:rStyle w:val="None"/>
        </w:rPr>
        <w:tab/>
      </w:r>
      <w:r>
        <w:rPr>
          <w:rStyle w:val="None"/>
        </w:rPr>
        <w:tab/>
      </w:r>
      <w:r>
        <w:rPr>
          <w:rStyle w:val="None"/>
        </w:rPr>
        <w:tab/>
      </w:r>
      <w:r>
        <w:rPr>
          <w:rStyle w:val="None"/>
        </w:rPr>
        <w:tab/>
      </w:r>
      <w:r>
        <w:rPr>
          <w:rStyle w:val="None"/>
        </w:rPr>
        <w:tab/>
        <w:t xml:space="preserve">&lt;NAME OF SINGLE </w:t>
      </w:r>
      <w:r>
        <w:rPr>
          <w:rStyle w:val="None"/>
        </w:rPr>
        <w:tab/>
      </w:r>
      <w:r>
        <w:rPr>
          <w:rStyle w:val="None"/>
        </w:rPr>
        <w:tab/>
      </w:r>
      <w:r>
        <w:rPr>
          <w:rStyle w:val="None"/>
        </w:rPr>
        <w:tab/>
      </w:r>
      <w:r>
        <w:rPr>
          <w:rStyle w:val="None"/>
        </w:rPr>
        <w:tab/>
      </w:r>
      <w:r>
        <w:rPr>
          <w:rStyle w:val="None"/>
        </w:rPr>
        <w:tab/>
      </w:r>
      <w:r>
        <w:rPr>
          <w:rStyle w:val="None"/>
        </w:rPr>
        <w:tab/>
      </w:r>
    </w:p>
    <w:p w:rsidR="005148A4" w:rsidRDefault="00EB735E">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Pr>
      </w:pP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t>PROPRIETORSHIP OR CORPORATION&gt;</w:t>
      </w:r>
    </w:p>
    <w:p w:rsidR="005148A4" w:rsidRDefault="00EB735E">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Pr>
      </w:pPr>
      <w:r>
        <w:rPr>
          <w:rStyle w:val="None"/>
        </w:rPr>
        <w:t>By:</w:t>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t>By:</w:t>
      </w:r>
    </w:p>
    <w:p w:rsidR="005148A4" w:rsidRDefault="005148A4">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Pr>
      </w:pPr>
    </w:p>
    <w:p w:rsidR="005148A4" w:rsidRDefault="00BF3368">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Pr>
      </w:pPr>
      <w:r>
        <w:rPr>
          <w:rStyle w:val="None"/>
        </w:rPr>
        <w:t>DR. MICHAEL L. TEE</w:t>
      </w:r>
      <w:r>
        <w:rPr>
          <w:rStyle w:val="None"/>
        </w:rPr>
        <w:tab/>
      </w:r>
      <w:r>
        <w:rPr>
          <w:rStyle w:val="None"/>
        </w:rPr>
        <w:tab/>
      </w:r>
      <w:r>
        <w:rPr>
          <w:rStyle w:val="None"/>
        </w:rPr>
        <w:tab/>
      </w:r>
      <w:r w:rsidR="00EB735E">
        <w:rPr>
          <w:rStyle w:val="None"/>
        </w:rPr>
        <w:tab/>
      </w:r>
      <w:r w:rsidR="00EB735E">
        <w:rPr>
          <w:rStyle w:val="None"/>
        </w:rPr>
        <w:tab/>
      </w:r>
      <w:r w:rsidR="00EB735E">
        <w:rPr>
          <w:rStyle w:val="None"/>
        </w:rPr>
        <w:tab/>
      </w:r>
      <w:r w:rsidR="00EB735E">
        <w:rPr>
          <w:rStyle w:val="None"/>
        </w:rPr>
        <w:tab/>
      </w:r>
      <w:r w:rsidR="00EB735E">
        <w:rPr>
          <w:rStyle w:val="None"/>
        </w:rPr>
        <w:tab/>
      </w:r>
      <w:r w:rsidR="00EB735E">
        <w:rPr>
          <w:rStyle w:val="None"/>
        </w:rPr>
        <w:tab/>
      </w:r>
      <w:r w:rsidR="00EB735E">
        <w:rPr>
          <w:rStyle w:val="None"/>
        </w:rPr>
        <w:tab/>
      </w:r>
      <w:r w:rsidR="00EB735E">
        <w:rPr>
          <w:rStyle w:val="None"/>
        </w:rPr>
        <w:tab/>
      </w:r>
      <w:r w:rsidR="00EB735E">
        <w:rPr>
          <w:rStyle w:val="None"/>
        </w:rPr>
        <w:tab/>
      </w:r>
      <w:r w:rsidR="00EB735E">
        <w:rPr>
          <w:rStyle w:val="None"/>
        </w:rPr>
        <w:tab/>
      </w:r>
      <w:r w:rsidR="00EB735E">
        <w:rPr>
          <w:rStyle w:val="None"/>
        </w:rPr>
        <w:tab/>
      </w:r>
      <w:r w:rsidR="00EB735E">
        <w:rPr>
          <w:rStyle w:val="None"/>
        </w:rPr>
        <w:tab/>
      </w:r>
      <w:r w:rsidR="00EB735E">
        <w:rPr>
          <w:rStyle w:val="None"/>
        </w:rPr>
        <w:tab/>
      </w:r>
      <w:r w:rsidR="00EB735E">
        <w:rPr>
          <w:rStyle w:val="None"/>
        </w:rPr>
        <w:tab/>
        <w:t>&lt;NAME OF SIGNATORY&gt;</w:t>
      </w:r>
    </w:p>
    <w:p w:rsidR="005148A4" w:rsidRDefault="00BF3368">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Pr>
      </w:pPr>
      <w:r>
        <w:rPr>
          <w:rStyle w:val="None"/>
        </w:rPr>
        <w:t xml:space="preserve">Professor and </w:t>
      </w:r>
      <w:r w:rsidR="00EB735E">
        <w:rPr>
          <w:rStyle w:val="None"/>
        </w:rPr>
        <w:t>Chancellor, UP Manila</w:t>
      </w:r>
      <w:r w:rsidR="00EB735E">
        <w:rPr>
          <w:rStyle w:val="None"/>
        </w:rPr>
        <w:tab/>
      </w:r>
      <w:r w:rsidR="00EB735E">
        <w:rPr>
          <w:rStyle w:val="None"/>
        </w:rPr>
        <w:tab/>
      </w:r>
      <w:r w:rsidR="00EB735E">
        <w:rPr>
          <w:rStyle w:val="None"/>
        </w:rPr>
        <w:tab/>
      </w:r>
      <w:r w:rsidR="00EB735E">
        <w:rPr>
          <w:rStyle w:val="None"/>
        </w:rPr>
        <w:tab/>
      </w:r>
      <w:r w:rsidR="00EB735E">
        <w:rPr>
          <w:rStyle w:val="None"/>
        </w:rPr>
        <w:tab/>
      </w:r>
      <w:r w:rsidR="00EB735E">
        <w:rPr>
          <w:rStyle w:val="None"/>
        </w:rPr>
        <w:tab/>
      </w:r>
      <w:r w:rsidR="00EB735E">
        <w:rPr>
          <w:rStyle w:val="None"/>
        </w:rPr>
        <w:tab/>
        <w:t>&lt;Position or Title &gt;</w:t>
      </w:r>
    </w:p>
    <w:p w:rsidR="005148A4" w:rsidRDefault="00EB735E">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Pr>
      </w:pPr>
      <w:r>
        <w:rPr>
          <w:rStyle w:val="None"/>
          <w:lang w:val="de-DE"/>
        </w:rPr>
        <w:t>Date:</w:t>
      </w:r>
      <w:r>
        <w:rPr>
          <w:rStyle w:val="None"/>
        </w:rPr>
        <w:t xml:space="preserve"> ________________________</w:t>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t>Date: ________________________</w:t>
      </w:r>
    </w:p>
    <w:p w:rsidR="005148A4" w:rsidRDefault="005148A4">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Fonts w:ascii="Times New Roman" w:eastAsia="Times New Roman" w:hAnsi="Times New Roman" w:cs="Times New Roman"/>
          <w:b/>
          <w:bCs/>
        </w:rPr>
      </w:pPr>
    </w:p>
    <w:p w:rsidR="005148A4" w:rsidRDefault="00EB735E">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rPr>
          <w:rStyle w:val="None"/>
        </w:rPr>
      </w:pPr>
      <w:r>
        <w:rPr>
          <w:rStyle w:val="None"/>
        </w:rPr>
        <w:t>Witnesses:</w:t>
      </w:r>
    </w:p>
    <w:p w:rsidR="005148A4" w:rsidRDefault="005148A4">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Pr>
      </w:pPr>
    </w:p>
    <w:p w:rsidR="005148A4" w:rsidRDefault="00EB735E">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Pr>
      </w:pPr>
      <w:r>
        <w:rPr>
          <w:rStyle w:val="None"/>
        </w:rPr>
        <w:t>&lt;NAME&gt;</w:t>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t>_____________________________</w:t>
      </w:r>
    </w:p>
    <w:p w:rsidR="005148A4" w:rsidRDefault="00EB735E">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Pr>
      </w:pPr>
      <w:r>
        <w:rPr>
          <w:rStyle w:val="None"/>
        </w:rPr>
        <w:t>&lt;Position or Title&gt;</w:t>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t>_____________________________</w:t>
      </w:r>
    </w:p>
    <w:p w:rsidR="005148A4" w:rsidRDefault="005148A4">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Pr>
      </w:pPr>
    </w:p>
    <w:p w:rsidR="005148A4" w:rsidRDefault="00EB735E">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192" w:lineRule="auto"/>
        <w:ind w:left="0" w:right="28"/>
        <w:jc w:val="left"/>
        <w:rPr>
          <w:rStyle w:val="None"/>
        </w:rPr>
      </w:pPr>
      <w:r>
        <w:rPr>
          <w:rStyle w:val="None"/>
          <w:noProof/>
        </w:rPr>
        <mc:AlternateContent>
          <mc:Choice Requires="wps">
            <w:drawing>
              <wp:anchor distT="0" distB="0" distL="0" distR="0" simplePos="0" relativeHeight="251659264" behindDoc="0" locked="0" layoutInCell="1" allowOverlap="1">
                <wp:simplePos x="0" y="0"/>
                <wp:positionH relativeFrom="page">
                  <wp:posOffset>647699</wp:posOffset>
                </wp:positionH>
                <wp:positionV relativeFrom="page">
                  <wp:posOffset>210205</wp:posOffset>
                </wp:positionV>
                <wp:extent cx="1905001" cy="0"/>
                <wp:effectExtent l="0" t="0" r="0" b="0"/>
                <wp:wrapTopAndBottom distT="0" distB="0"/>
                <wp:docPr id="1073741825" name="officeArt object" descr="officeArt object"/>
                <wp:cNvGraphicFramePr/>
                <a:graphic xmlns:a="http://schemas.openxmlformats.org/drawingml/2006/main">
                  <a:graphicData uri="http://schemas.microsoft.com/office/word/2010/wordprocessingShape">
                    <wps:wsp>
                      <wps:cNvCnPr/>
                      <wps:spPr>
                        <a:xfrm>
                          <a:off x="0" y="0"/>
                          <a:ext cx="1905001" cy="0"/>
                        </a:xfrm>
                        <a:prstGeom prst="line">
                          <a:avLst/>
                        </a:prstGeom>
                        <a:noFill/>
                        <a:ln w="7620" cap="flat">
                          <a:solidFill>
                            <a:srgbClr val="000000"/>
                          </a:solidFill>
                          <a:prstDash val="solid"/>
                          <a:round/>
                        </a:ln>
                        <a:effectLst/>
                      </wps:spPr>
                      <wps:bodyPr/>
                    </wps:wsp>
                  </a:graphicData>
                </a:graphic>
              </wp:anchor>
            </w:drawing>
          </mc:Choice>
          <mc:Fallback>
            <w:pict>
              <v:line id="_x0000_s1026" style="visibility:visible;position:absolute;margin-left:51.0pt;margin-top:16.6pt;width:150.0pt;height:0.0pt;z-index:251659264;mso-position-horizontal:absolute;mso-position-horizontal-relative:page;mso-position-vertical:absolute;mso-position-vertical-relative:page;mso-wrap-distance-left:0.0pt;mso-wrap-distance-top:0.0pt;mso-wrap-distance-right:0.0pt;mso-wrap-distance-bottom:0.0pt;">
                <v:fill on="f"/>
                <v:stroke filltype="solid" color="#000000" opacity="100.0%" weight="0.6pt" dashstyle="solid" endcap="flat" joinstyle="round" linestyle="single" startarrow="none" startarrowwidth="medium" startarrowlength="medium" endarrow="none" endarrowwidth="medium" endarrowlength="medium"/>
                <w10:wrap type="topAndBottom" side="bothSides" anchorx="page" anchory="page"/>
              </v:line>
            </w:pict>
          </mc:Fallback>
        </mc:AlternateContent>
      </w:r>
      <w:r>
        <w:rPr>
          <w:rStyle w:val="None"/>
          <w:noProof/>
        </w:rPr>
        <mc:AlternateContent>
          <mc:Choice Requires="wps">
            <w:drawing>
              <wp:anchor distT="0" distB="0" distL="0" distR="0" simplePos="0" relativeHeight="251660288" behindDoc="0" locked="0" layoutInCell="1" allowOverlap="1">
                <wp:simplePos x="0" y="0"/>
                <wp:positionH relativeFrom="page">
                  <wp:posOffset>3962400</wp:posOffset>
                </wp:positionH>
                <wp:positionV relativeFrom="page">
                  <wp:posOffset>210205</wp:posOffset>
                </wp:positionV>
                <wp:extent cx="1828801" cy="0"/>
                <wp:effectExtent l="0" t="0" r="0" b="0"/>
                <wp:wrapTopAndBottom distT="0" distB="0"/>
                <wp:docPr id="1073741826" name="officeArt object" descr="officeArt object"/>
                <wp:cNvGraphicFramePr/>
                <a:graphic xmlns:a="http://schemas.openxmlformats.org/drawingml/2006/main">
                  <a:graphicData uri="http://schemas.microsoft.com/office/word/2010/wordprocessingShape">
                    <wps:wsp>
                      <wps:cNvCnPr/>
                      <wps:spPr>
                        <a:xfrm>
                          <a:off x="0" y="0"/>
                          <a:ext cx="1828801" cy="0"/>
                        </a:xfrm>
                        <a:prstGeom prst="line">
                          <a:avLst/>
                        </a:prstGeom>
                        <a:noFill/>
                        <a:ln w="7620" cap="flat">
                          <a:solidFill>
                            <a:srgbClr val="000000"/>
                          </a:solidFill>
                          <a:prstDash val="solid"/>
                          <a:round/>
                        </a:ln>
                        <a:effectLst/>
                      </wps:spPr>
                      <wps:bodyPr/>
                    </wps:wsp>
                  </a:graphicData>
                </a:graphic>
              </wp:anchor>
            </w:drawing>
          </mc:Choice>
          <mc:Fallback>
            <w:pict>
              <v:line id="_x0000_s1027" style="visibility:visible;position:absolute;margin-left:312.0pt;margin-top:16.6pt;width:144.0pt;height:0.0pt;z-index:251660288;mso-position-horizontal:absolute;mso-position-horizontal-relative:page;mso-position-vertical:absolute;mso-position-vertical-relative:page;mso-wrap-distance-left:0.0pt;mso-wrap-distance-top:0.0pt;mso-wrap-distance-right:0.0pt;mso-wrap-distance-bottom:0.0pt;">
                <v:fill on="f"/>
                <v:stroke filltype="solid" color="#000000" opacity="100.0%" weight="0.6pt" dashstyle="solid" endcap="flat" joinstyle="round" linestyle="single" startarrow="none" startarrowwidth="medium" startarrowlength="medium" endarrow="none" endarrowwidth="medium" endarrowlength="medium"/>
                <w10:wrap type="topAndBottom" side="bothSides" anchorx="page" anchory="page"/>
              </v:line>
            </w:pict>
          </mc:Fallback>
        </mc:AlternateContent>
      </w:r>
    </w:p>
    <w:p w:rsidR="005148A4" w:rsidRDefault="00EB735E">
      <w:pPr>
        <w:pStyle w:val="Heading"/>
        <w:spacing w:line="192" w:lineRule="auto"/>
        <w:ind w:left="0" w:right="0"/>
        <w:jc w:val="left"/>
        <w:rPr>
          <w:rStyle w:val="None"/>
          <w:rFonts w:ascii="Spectral Bold Italic" w:eastAsia="Spectral Bold Italic" w:hAnsi="Spectral Bold Italic" w:cs="Spectral Bold Italic"/>
        </w:rPr>
      </w:pPr>
      <w:proofErr w:type="spellStart"/>
      <w:r>
        <w:rPr>
          <w:rStyle w:val="None"/>
          <w:rFonts w:ascii="Spectral Bold Italic" w:hAnsi="Spectral Bold Italic"/>
          <w:lang w:val="fr-FR"/>
        </w:rPr>
        <w:t>Certi</w:t>
      </w:r>
      <w:r>
        <w:rPr>
          <w:rStyle w:val="None"/>
          <w:rFonts w:ascii="Spectral Bold Italic" w:hAnsi="Spectral Bold Italic"/>
        </w:rPr>
        <w:t>ﬁcate</w:t>
      </w:r>
      <w:proofErr w:type="spellEnd"/>
      <w:r>
        <w:rPr>
          <w:rStyle w:val="None"/>
          <w:rFonts w:ascii="Spectral Bold Italic" w:hAnsi="Spectral Bold Italic"/>
        </w:rPr>
        <w:t xml:space="preserve"> of Availability of </w:t>
      </w:r>
      <w:proofErr w:type="gramStart"/>
      <w:r>
        <w:rPr>
          <w:rStyle w:val="None"/>
          <w:rFonts w:ascii="Spectral Bold Italic" w:hAnsi="Spectral Bold Italic"/>
        </w:rPr>
        <w:t>Allotment:</w:t>
      </w:r>
      <w:proofErr w:type="gramEnd"/>
      <w:r>
        <w:rPr>
          <w:rStyle w:val="None"/>
          <w:rFonts w:ascii="Spectral Bold Italic" w:hAnsi="Spectral Bold Italic"/>
        </w:rPr>
        <w:tab/>
        <w:t xml:space="preserve">   </w:t>
      </w:r>
      <w:r>
        <w:rPr>
          <w:rStyle w:val="None"/>
          <w:rFonts w:ascii="Spectral Bold Italic" w:hAnsi="Spectral Bold Italic"/>
        </w:rPr>
        <w:tab/>
      </w:r>
      <w:proofErr w:type="spellStart"/>
      <w:r>
        <w:rPr>
          <w:rStyle w:val="None"/>
          <w:rFonts w:ascii="Spectral Bold Italic" w:hAnsi="Spectral Bold Italic"/>
          <w:lang w:val="fr-FR"/>
        </w:rPr>
        <w:t>Certi</w:t>
      </w:r>
      <w:r>
        <w:rPr>
          <w:rStyle w:val="None"/>
          <w:rFonts w:ascii="Spectral Bold Italic" w:hAnsi="Spectral Bold Italic"/>
        </w:rPr>
        <w:t>ﬁcate</w:t>
      </w:r>
      <w:proofErr w:type="spellEnd"/>
      <w:r>
        <w:rPr>
          <w:rStyle w:val="None"/>
          <w:rFonts w:ascii="Spectral Bold Italic" w:hAnsi="Spectral Bold Italic"/>
        </w:rPr>
        <w:t xml:space="preserve"> of Fund Availability:</w:t>
      </w:r>
    </w:p>
    <w:p w:rsidR="005148A4" w:rsidRDefault="005148A4">
      <w:pPr>
        <w:pStyle w:val="Heading"/>
        <w:spacing w:line="192" w:lineRule="auto"/>
        <w:ind w:left="0" w:right="0"/>
        <w:jc w:val="left"/>
        <w:rPr>
          <w:rStyle w:val="None"/>
          <w:rFonts w:ascii="Spectral Bold Italic" w:eastAsia="Spectral Bold Italic" w:hAnsi="Spectral Bold Italic" w:cs="Spectral Bold Italic"/>
        </w:rPr>
      </w:pPr>
    </w:p>
    <w:p w:rsidR="005148A4" w:rsidRDefault="005148A4">
      <w:pPr>
        <w:pStyle w:val="Heading"/>
        <w:spacing w:line="192" w:lineRule="auto"/>
        <w:ind w:left="0" w:right="0"/>
        <w:jc w:val="left"/>
        <w:rPr>
          <w:rStyle w:val="None"/>
          <w:rFonts w:ascii="Spectral Bold Italic" w:eastAsia="Spectral Bold Italic" w:hAnsi="Spectral Bold Italic" w:cs="Spectral Bold Italic"/>
        </w:rPr>
      </w:pPr>
    </w:p>
    <w:p w:rsidR="005148A4" w:rsidRDefault="00EB735E">
      <w:pPr>
        <w:pStyle w:val="Heading"/>
        <w:spacing w:before="0" w:line="240" w:lineRule="auto"/>
        <w:ind w:left="0" w:right="0"/>
        <w:jc w:val="left"/>
        <w:rPr>
          <w:rStyle w:val="None"/>
        </w:rPr>
      </w:pPr>
      <w:r>
        <w:rPr>
          <w:rStyle w:val="None"/>
          <w:lang w:val="da-DK"/>
        </w:rPr>
        <w:t>LOVELLE C. SAGUID</w:t>
      </w:r>
      <w:r>
        <w:rPr>
          <w:rStyle w:val="None"/>
          <w:lang w:val="da-DK"/>
        </w:rPr>
        <w:tab/>
      </w:r>
      <w:r>
        <w:rPr>
          <w:rStyle w:val="None"/>
        </w:rPr>
        <w:tab/>
      </w:r>
      <w:r>
        <w:rPr>
          <w:rStyle w:val="None"/>
        </w:rPr>
        <w:tab/>
      </w:r>
      <w:r>
        <w:rPr>
          <w:rStyle w:val="None"/>
        </w:rPr>
        <w:tab/>
        <w:t>ERWIN A. DANDO</w:t>
      </w:r>
    </w:p>
    <w:p w:rsidR="005148A4" w:rsidRDefault="00EB735E">
      <w:pPr>
        <w:pStyle w:val="Heading"/>
        <w:spacing w:before="0" w:line="240" w:lineRule="auto"/>
        <w:ind w:left="0" w:right="0"/>
        <w:jc w:val="left"/>
        <w:rPr>
          <w:rStyle w:val="None"/>
        </w:rPr>
      </w:pPr>
      <w:r>
        <w:rPr>
          <w:rStyle w:val="None"/>
          <w:lang w:val="nl-NL"/>
        </w:rPr>
        <w:t>Chief, UPM-Budget O</w:t>
      </w:r>
      <w:proofErr w:type="spellStart"/>
      <w:r>
        <w:rPr>
          <w:rStyle w:val="None"/>
        </w:rPr>
        <w:t>ﬃce</w:t>
      </w:r>
      <w:proofErr w:type="spellEnd"/>
      <w:r>
        <w:rPr>
          <w:rStyle w:val="None"/>
        </w:rPr>
        <w:t xml:space="preserve">                     </w:t>
      </w:r>
      <w:r>
        <w:rPr>
          <w:rStyle w:val="None"/>
        </w:rPr>
        <w:tab/>
      </w:r>
      <w:r>
        <w:rPr>
          <w:rStyle w:val="None"/>
        </w:rPr>
        <w:tab/>
        <w:t>Chief, UPM-Accounting Oﬃce</w:t>
      </w:r>
    </w:p>
    <w:p w:rsidR="005148A4" w:rsidRDefault="005148A4">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240" w:lineRule="auto"/>
        <w:ind w:left="0"/>
        <w:jc w:val="left"/>
        <w:rPr>
          <w:rStyle w:val="None"/>
        </w:rPr>
      </w:pPr>
    </w:p>
    <w:p w:rsidR="005148A4" w:rsidRDefault="005148A4">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240" w:lineRule="auto"/>
        <w:ind w:left="0"/>
        <w:jc w:val="left"/>
        <w:rPr>
          <w:rStyle w:val="None"/>
        </w:rPr>
      </w:pPr>
    </w:p>
    <w:p w:rsidR="005148A4" w:rsidRDefault="00EB735E">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240" w:lineRule="auto"/>
        <w:ind w:left="0"/>
        <w:jc w:val="left"/>
        <w:rPr>
          <w:rStyle w:val="None"/>
        </w:rPr>
      </w:pPr>
      <w:r>
        <w:rPr>
          <w:rStyle w:val="None"/>
        </w:rPr>
        <w:t xml:space="preserve">REPUBLIC OF </w:t>
      </w:r>
      <w:r>
        <w:rPr>
          <w:rStyle w:val="None"/>
          <w:lang w:val="de-DE"/>
        </w:rPr>
        <w:t>THE</w:t>
      </w:r>
      <w:r>
        <w:rPr>
          <w:rStyle w:val="None"/>
        </w:rPr>
        <w:t xml:space="preserve"> </w:t>
      </w:r>
      <w:proofErr w:type="gramStart"/>
      <w:r>
        <w:rPr>
          <w:rStyle w:val="None"/>
        </w:rPr>
        <w:t>PHILIPPINES )</w:t>
      </w:r>
      <w:proofErr w:type="gramEnd"/>
    </w:p>
    <w:p w:rsidR="005148A4" w:rsidRDefault="00EB735E">
      <w:pPr>
        <w:pStyle w:val="Default"/>
        <w:widowControl w:val="0"/>
        <w:tabs>
          <w:tab w:val="left" w:pos="3937"/>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 w:val="left" w:pos="8860"/>
        </w:tabs>
        <w:spacing w:before="0"/>
        <w:rPr>
          <w:rStyle w:val="None"/>
          <w:rFonts w:ascii="Spectral Regular" w:eastAsia="Spectral Regular" w:hAnsi="Spectral Regular" w:cs="Spectral Regular"/>
        </w:rPr>
      </w:pPr>
      <w:r>
        <w:rPr>
          <w:rStyle w:val="None"/>
          <w:rFonts w:ascii="Spectral Regular" w:hAnsi="Spectral Regular"/>
        </w:rPr>
        <w:t>City of Manila</w:t>
      </w:r>
      <w:r>
        <w:rPr>
          <w:rStyle w:val="None"/>
          <w:rFonts w:ascii="Spectral Regular" w:eastAsia="Spectral Regular" w:hAnsi="Spectral Regular" w:cs="Spectral Regular"/>
        </w:rPr>
        <w:tab/>
        <w:t xml:space="preserve">) </w:t>
      </w:r>
      <w:proofErr w:type="spellStart"/>
      <w:r>
        <w:rPr>
          <w:rStyle w:val="None"/>
          <w:rFonts w:ascii="Spectral Regular" w:hAnsi="Spectral Regular"/>
        </w:rPr>
        <w:t>s.s.</w:t>
      </w:r>
      <w:proofErr w:type="spellEnd"/>
    </w:p>
    <w:p w:rsidR="005148A4" w:rsidRDefault="00EB735E">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240" w:lineRule="auto"/>
        <w:ind w:right="1665"/>
        <w:rPr>
          <w:rStyle w:val="None"/>
        </w:rPr>
      </w:pPr>
      <w:r>
        <w:rPr>
          <w:rStyle w:val="None"/>
        </w:rPr>
        <w:t>A C K N O W L E D G M E N T</w:t>
      </w:r>
    </w:p>
    <w:p w:rsidR="005148A4" w:rsidRDefault="00EB735E">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rPr>
          <w:rStyle w:val="None"/>
          <w:rFonts w:ascii="Spectral Regular" w:eastAsia="Spectral Regular" w:hAnsi="Spectral Regular" w:cs="Spectral Regular"/>
        </w:rPr>
      </w:pPr>
      <w:r>
        <w:rPr>
          <w:rStyle w:val="None"/>
          <w:rFonts w:ascii="Spectral Regular" w:hAnsi="Spectral Regular"/>
        </w:rPr>
        <w:t>BEFORE ME, a Notary Public for and in the City of Manila, Philippines, on _______________________ personally appeared the following persons who exhibited to me their identiﬁcation cards with the information indicated below:</w:t>
      </w:r>
    </w:p>
    <w:p w:rsidR="005148A4" w:rsidRDefault="005148A4">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left="832"/>
        <w:rPr>
          <w:rStyle w:val="None"/>
          <w:rFonts w:ascii="Spectral Regular" w:eastAsia="Spectral Regular" w:hAnsi="Spectral Regular" w:cs="Spectral Regular"/>
          <w:sz w:val="28"/>
          <w:szCs w:val="28"/>
        </w:rPr>
      </w:pPr>
    </w:p>
    <w:p w:rsidR="005148A4" w:rsidRDefault="00EB735E">
      <w:pPr>
        <w:pStyle w:val="Heading"/>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line="240" w:lineRule="auto"/>
        <w:ind w:left="713" w:right="0"/>
        <w:jc w:val="left"/>
        <w:rPr>
          <w:rStyle w:val="None"/>
        </w:rPr>
      </w:pPr>
      <w:r>
        <w:rPr>
          <w:rStyle w:val="None"/>
        </w:rPr>
        <w:t>NAME</w:t>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r>
      <w:r>
        <w:rPr>
          <w:rStyle w:val="None"/>
        </w:rPr>
        <w:tab/>
        <w:t xml:space="preserve">GIID </w:t>
      </w:r>
      <w:r>
        <w:rPr>
          <w:rStyle w:val="None"/>
          <w:lang w:val="de-DE"/>
        </w:rPr>
        <w:t>NO.</w:t>
      </w:r>
      <w:r>
        <w:rPr>
          <w:rStyle w:val="None"/>
        </w:rPr>
        <w:t xml:space="preserve">              </w:t>
      </w:r>
      <w:r>
        <w:rPr>
          <w:rStyle w:val="None"/>
        </w:rPr>
        <w:tab/>
      </w:r>
      <w:r>
        <w:rPr>
          <w:rStyle w:val="None"/>
        </w:rPr>
        <w:tab/>
      </w:r>
      <w:r>
        <w:rPr>
          <w:rStyle w:val="None"/>
        </w:rPr>
        <w:tab/>
        <w:t xml:space="preserve">ISSUANCE </w:t>
      </w:r>
      <w:r>
        <w:rPr>
          <w:rStyle w:val="None"/>
          <w:lang w:val="da-DK"/>
        </w:rPr>
        <w:t>DETAILS</w:t>
      </w:r>
    </w:p>
    <w:p w:rsidR="005148A4" w:rsidRDefault="005148A4">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left="832"/>
        <w:rPr>
          <w:rStyle w:val="None"/>
          <w:rFonts w:ascii="Spectral Regular" w:eastAsia="Spectral Regular" w:hAnsi="Spectral Regular" w:cs="Spectral Regular"/>
          <w:sz w:val="12"/>
          <w:szCs w:val="12"/>
        </w:rPr>
      </w:pPr>
    </w:p>
    <w:p w:rsidR="005148A4" w:rsidRDefault="00BF3368">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right="38" w:firstLine="2"/>
        <w:rPr>
          <w:rStyle w:val="None"/>
          <w:rFonts w:ascii="Spectral Regular" w:eastAsia="Spectral Regular" w:hAnsi="Spectral Regular" w:cs="Spectral Regular"/>
        </w:rPr>
      </w:pPr>
      <w:r>
        <w:rPr>
          <w:rStyle w:val="None"/>
          <w:rFonts w:ascii="Spectral Regular" w:hAnsi="Spectral Regular"/>
        </w:rPr>
        <w:t>Dr. Michael L. Tee</w:t>
      </w:r>
      <w:r w:rsidR="00EB735E">
        <w:rPr>
          <w:rStyle w:val="None"/>
          <w:rFonts w:ascii="Spectral Regular" w:hAnsi="Spectral Regular"/>
        </w:rPr>
        <w:tab/>
        <w:t xml:space="preserve">     </w:t>
      </w:r>
      <w:r>
        <w:rPr>
          <w:rStyle w:val="None"/>
          <w:rFonts w:ascii="Spectral Regular" w:hAnsi="Spectral Regular"/>
        </w:rPr>
        <w:tab/>
      </w:r>
      <w:r>
        <w:rPr>
          <w:rStyle w:val="None"/>
          <w:rFonts w:ascii="Spectral Regular" w:hAnsi="Spectral Regular"/>
        </w:rPr>
        <w:tab/>
      </w:r>
      <w:r>
        <w:rPr>
          <w:rStyle w:val="None"/>
          <w:rFonts w:ascii="Spectral Regular" w:hAnsi="Spectral Regular"/>
        </w:rPr>
        <w:tab/>
      </w:r>
      <w:r>
        <w:rPr>
          <w:rStyle w:val="None"/>
          <w:rFonts w:ascii="Spectral Regular" w:hAnsi="Spectral Regular"/>
        </w:rPr>
        <w:tab/>
      </w:r>
      <w:r>
        <w:rPr>
          <w:rStyle w:val="None"/>
          <w:rFonts w:ascii="Spectral Regular" w:hAnsi="Spectral Regular"/>
        </w:rPr>
        <w:tab/>
      </w:r>
      <w:r>
        <w:rPr>
          <w:rStyle w:val="None"/>
          <w:rFonts w:ascii="Spectral Regular" w:hAnsi="Spectral Regular"/>
        </w:rPr>
        <w:tab/>
      </w:r>
      <w:proofErr w:type="gramStart"/>
      <w:r>
        <w:rPr>
          <w:rStyle w:val="None"/>
          <w:rFonts w:ascii="Spectral Regular" w:hAnsi="Spectral Regular"/>
        </w:rPr>
        <w:tab/>
      </w:r>
      <w:r w:rsidR="00EB735E">
        <w:rPr>
          <w:rStyle w:val="None"/>
          <w:rFonts w:ascii="Spectral Regular" w:hAnsi="Spectral Regular"/>
        </w:rPr>
        <w:t xml:space="preserve">  </w:t>
      </w:r>
      <w:r>
        <w:rPr>
          <w:rStyle w:val="None"/>
          <w:rFonts w:ascii="Spectral Regular" w:hAnsi="Spectral Regular"/>
        </w:rPr>
        <w:t>0089527</w:t>
      </w:r>
      <w:proofErr w:type="gramEnd"/>
      <w:r>
        <w:rPr>
          <w:rStyle w:val="None"/>
          <w:rFonts w:ascii="Spectral Regular" w:hAnsi="Spectral Regular"/>
        </w:rPr>
        <w:tab/>
      </w:r>
      <w:r>
        <w:rPr>
          <w:rStyle w:val="None"/>
          <w:rFonts w:ascii="Spectral Regular" w:hAnsi="Spectral Regular"/>
        </w:rPr>
        <w:tab/>
      </w:r>
      <w:r>
        <w:rPr>
          <w:rStyle w:val="None"/>
          <w:rFonts w:ascii="Spectral Regular" w:hAnsi="Spectral Regular"/>
        </w:rPr>
        <w:tab/>
      </w:r>
      <w:r>
        <w:rPr>
          <w:rStyle w:val="None"/>
          <w:rFonts w:ascii="Spectral Regular" w:hAnsi="Spectral Regular"/>
        </w:rPr>
        <w:tab/>
      </w:r>
      <w:r>
        <w:rPr>
          <w:rStyle w:val="None"/>
          <w:rFonts w:ascii="Spectral Regular" w:hAnsi="Spectral Regular"/>
        </w:rPr>
        <w:tab/>
      </w:r>
      <w:r w:rsidR="00EB735E">
        <w:rPr>
          <w:rStyle w:val="None"/>
          <w:rFonts w:ascii="Spectral Regular" w:hAnsi="Spectral Regular"/>
        </w:rPr>
        <w:tab/>
      </w:r>
      <w:r w:rsidR="00EB735E">
        <w:rPr>
          <w:rStyle w:val="None"/>
          <w:rFonts w:ascii="Spectral Regular" w:hAnsi="Spectral Regular"/>
        </w:rPr>
        <w:tab/>
      </w:r>
      <w:r>
        <w:rPr>
          <w:rStyle w:val="None"/>
          <w:rFonts w:ascii="Spectral Regular" w:hAnsi="Spectral Regular"/>
        </w:rPr>
        <w:tab/>
      </w:r>
      <w:r>
        <w:rPr>
          <w:rStyle w:val="None"/>
          <w:rFonts w:ascii="Spectral Regular" w:hAnsi="Spectral Regular"/>
        </w:rPr>
        <w:tab/>
      </w:r>
      <w:r>
        <w:rPr>
          <w:rStyle w:val="None"/>
          <w:rFonts w:ascii="Spectral Regular" w:hAnsi="Spectral Regular"/>
        </w:rPr>
        <w:tab/>
      </w:r>
      <w:r>
        <w:rPr>
          <w:rStyle w:val="None"/>
          <w:rFonts w:ascii="Spectral Regular" w:hAnsi="Spectral Regular"/>
        </w:rPr>
        <w:tab/>
        <w:t>PRC/ 01 May 2025</w:t>
      </w:r>
    </w:p>
    <w:p w:rsidR="005148A4" w:rsidRDefault="00EB735E">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firstLine="2"/>
        <w:rPr>
          <w:rStyle w:val="None"/>
          <w:rFonts w:ascii="Times New Roman" w:eastAsia="Times New Roman" w:hAnsi="Times New Roman" w:cs="Times New Roman"/>
        </w:rPr>
      </w:pPr>
      <w:r>
        <w:rPr>
          <w:rStyle w:val="None"/>
          <w:rFonts w:ascii="Spectral Regular" w:hAnsi="Spectral Regular"/>
        </w:rPr>
        <w:t>_________________</w:t>
      </w:r>
      <w:r>
        <w:rPr>
          <w:rStyle w:val="None"/>
          <w:rFonts w:ascii="Spectral Regular" w:hAnsi="Spectral Regular"/>
        </w:rPr>
        <w:tab/>
      </w:r>
      <w:r>
        <w:rPr>
          <w:rStyle w:val="None"/>
          <w:rFonts w:ascii="Spectral Regular" w:hAnsi="Spectral Regular"/>
        </w:rPr>
        <w:tab/>
      </w:r>
      <w:r>
        <w:rPr>
          <w:rStyle w:val="None"/>
          <w:rFonts w:ascii="Spectral Regular" w:hAnsi="Spectral Regular"/>
        </w:rPr>
        <w:tab/>
      </w:r>
      <w:r>
        <w:rPr>
          <w:rStyle w:val="None"/>
          <w:rFonts w:ascii="Spectral Regular" w:hAnsi="Spectral Regular"/>
        </w:rPr>
        <w:tab/>
      </w:r>
      <w:r>
        <w:rPr>
          <w:rStyle w:val="None"/>
          <w:rFonts w:ascii="Spectral Regular" w:hAnsi="Spectral Regular"/>
        </w:rPr>
        <w:tab/>
      </w:r>
      <w:r>
        <w:rPr>
          <w:rStyle w:val="None"/>
          <w:rFonts w:ascii="Spectral Regular" w:hAnsi="Spectral Regular"/>
        </w:rPr>
        <w:tab/>
        <w:t>_____________________</w:t>
      </w:r>
      <w:r>
        <w:rPr>
          <w:rStyle w:val="None"/>
          <w:rFonts w:ascii="Spectral Regular" w:hAnsi="Spectral Regular"/>
        </w:rPr>
        <w:tab/>
      </w:r>
      <w:r>
        <w:rPr>
          <w:rStyle w:val="None"/>
          <w:rFonts w:ascii="Spectral Regular" w:hAnsi="Spectral Regular"/>
        </w:rPr>
        <w:tab/>
      </w:r>
      <w:r>
        <w:rPr>
          <w:rStyle w:val="None"/>
          <w:rFonts w:ascii="Spectral Regular" w:hAnsi="Spectral Regular"/>
        </w:rPr>
        <w:tab/>
        <w:t>_________________________</w:t>
      </w:r>
    </w:p>
    <w:p w:rsidR="005148A4" w:rsidRDefault="005148A4">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left="832"/>
        <w:rPr>
          <w:rStyle w:val="None"/>
          <w:rFonts w:ascii="Times New Roman" w:eastAsia="Times New Roman" w:hAnsi="Times New Roman" w:cs="Times New Roman"/>
        </w:rPr>
      </w:pPr>
    </w:p>
    <w:p w:rsidR="005148A4" w:rsidRDefault="00EB735E">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right="103"/>
        <w:jc w:val="both"/>
        <w:rPr>
          <w:rStyle w:val="None"/>
          <w:rFonts w:ascii="Spectral Regular" w:eastAsia="Spectral Regular" w:hAnsi="Spectral Regular" w:cs="Spectral Regular"/>
        </w:rPr>
      </w:pPr>
      <w:r>
        <w:rPr>
          <w:rStyle w:val="None"/>
          <w:rFonts w:ascii="Spectral Regular" w:hAnsi="Spectral Regular"/>
        </w:rPr>
        <w:t>known to me to be the same persons who executed the foregoing instrument and acknowledged to me that the same is free and voluntary act and deed and that of the entities they respectively represent in this instance. This instrument refers to a Contract for &lt;Installation or Renovation and Supply of Materials&gt; consisting of 27 pages, including this page whereon the Acknowledgment is printed. The parties and their witnesses have signed every page thereof.</w:t>
      </w:r>
    </w:p>
    <w:p w:rsidR="005148A4" w:rsidRDefault="00EB735E">
      <w:pPr>
        <w:pStyle w:val="Default"/>
        <w:widowControl w:val="0"/>
        <w:tabs>
          <w:tab w:val="left" w:pos="8860"/>
        </w:tabs>
        <w:spacing w:before="0"/>
        <w:ind w:left="127" w:right="110" w:firstLine="720"/>
        <w:rPr>
          <w:rStyle w:val="None"/>
          <w:rFonts w:ascii="Spectral Regular" w:eastAsia="Spectral Regular" w:hAnsi="Spectral Regular" w:cs="Spectral Regular"/>
        </w:rPr>
      </w:pPr>
      <w:r>
        <w:rPr>
          <w:rStyle w:val="None"/>
          <w:rFonts w:ascii="Spectral Regular" w:hAnsi="Spectral Regular"/>
        </w:rPr>
        <w:lastRenderedPageBreak/>
        <w:t>WITNESS MY HAND AND NOTARIAL SEAL, on the date and place above mentioned.</w:t>
      </w:r>
    </w:p>
    <w:p w:rsidR="005148A4" w:rsidRDefault="005148A4">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left="832"/>
        <w:rPr>
          <w:rStyle w:val="None"/>
          <w:rFonts w:ascii="Spectral Regular" w:eastAsia="Spectral Regular" w:hAnsi="Spectral Regular" w:cs="Spectral Regular"/>
        </w:rPr>
      </w:pPr>
    </w:p>
    <w:p w:rsidR="005148A4" w:rsidRDefault="005148A4">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left="127" w:right="103"/>
        <w:jc w:val="both"/>
        <w:rPr>
          <w:rStyle w:val="None"/>
          <w:rFonts w:ascii="Spectral Regular" w:eastAsia="Spectral Regular" w:hAnsi="Spectral Regular" w:cs="Spectral Regular"/>
        </w:rPr>
      </w:pPr>
    </w:p>
    <w:p w:rsidR="005148A4" w:rsidRDefault="005148A4">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left="127" w:right="103"/>
        <w:jc w:val="both"/>
        <w:rPr>
          <w:rStyle w:val="None"/>
          <w:rFonts w:ascii="Spectral Regular" w:eastAsia="Spectral Regular" w:hAnsi="Spectral Regular" w:cs="Spectral Regular"/>
        </w:rPr>
      </w:pPr>
    </w:p>
    <w:p w:rsidR="005148A4" w:rsidRDefault="005148A4">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left="127" w:right="103"/>
        <w:jc w:val="both"/>
        <w:rPr>
          <w:rStyle w:val="None"/>
          <w:rFonts w:ascii="Spectral Regular" w:eastAsia="Spectral Regular" w:hAnsi="Spectral Regular" w:cs="Spectral Regular"/>
        </w:rPr>
      </w:pPr>
    </w:p>
    <w:p w:rsidR="005148A4" w:rsidRDefault="005148A4">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right="103"/>
        <w:jc w:val="both"/>
        <w:rPr>
          <w:rStyle w:val="None"/>
          <w:rFonts w:ascii="Spectral Regular" w:eastAsia="Spectral Regular" w:hAnsi="Spectral Regular" w:cs="Spectral Regular"/>
        </w:rPr>
      </w:pPr>
    </w:p>
    <w:p w:rsidR="005148A4" w:rsidRDefault="00EB735E">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right="103"/>
        <w:jc w:val="both"/>
        <w:rPr>
          <w:rStyle w:val="None"/>
          <w:rFonts w:ascii="Spectral Regular" w:eastAsia="Spectral Regular" w:hAnsi="Spectral Regular" w:cs="Spectral Regular"/>
        </w:rPr>
      </w:pPr>
      <w:r>
        <w:rPr>
          <w:rStyle w:val="None"/>
          <w:rFonts w:ascii="Spectral Regular" w:hAnsi="Spectral Regular"/>
        </w:rPr>
        <w:t>Doc. No. _____</w:t>
      </w:r>
    </w:p>
    <w:p w:rsidR="005148A4" w:rsidRDefault="00EB735E">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right="103"/>
        <w:jc w:val="both"/>
        <w:rPr>
          <w:rStyle w:val="None"/>
          <w:rFonts w:ascii="Spectral Regular" w:eastAsia="Spectral Regular" w:hAnsi="Spectral Regular" w:cs="Spectral Regular"/>
        </w:rPr>
      </w:pPr>
      <w:r>
        <w:rPr>
          <w:rStyle w:val="None"/>
          <w:rFonts w:ascii="Spectral Regular" w:hAnsi="Spectral Regular"/>
        </w:rPr>
        <w:t>Book No.</w:t>
      </w:r>
      <w:r>
        <w:rPr>
          <w:rStyle w:val="None"/>
          <w:rFonts w:ascii="Spectral Regular" w:hAnsi="Spectral Regular"/>
        </w:rPr>
        <w:tab/>
        <w:t>_____</w:t>
      </w:r>
    </w:p>
    <w:p w:rsidR="005148A4" w:rsidRDefault="00EB735E">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right="103"/>
        <w:jc w:val="both"/>
        <w:rPr>
          <w:rStyle w:val="None"/>
          <w:rFonts w:ascii="Spectral Regular" w:eastAsia="Spectral Regular" w:hAnsi="Spectral Regular" w:cs="Spectral Regular"/>
        </w:rPr>
      </w:pPr>
      <w:r>
        <w:rPr>
          <w:rStyle w:val="None"/>
          <w:rFonts w:ascii="Spectral Regular" w:hAnsi="Spectral Regular"/>
        </w:rPr>
        <w:t>Page No. _____</w:t>
      </w:r>
    </w:p>
    <w:p w:rsidR="005148A4" w:rsidRDefault="00EB735E">
      <w:pPr>
        <w:pStyle w:val="Default"/>
        <w:widowControl w:val="0"/>
        <w:tabs>
          <w:tab w:val="left" w:pos="142"/>
          <w:tab w:val="left" w:pos="284"/>
          <w:tab w:val="left" w:pos="426"/>
          <w:tab w:val="left" w:pos="568"/>
          <w:tab w:val="left" w:pos="710"/>
          <w:tab w:val="left" w:pos="852"/>
          <w:tab w:val="left" w:pos="994"/>
          <w:tab w:val="left" w:pos="1136"/>
          <w:tab w:val="left" w:pos="1278"/>
          <w:tab w:val="left" w:pos="1420"/>
          <w:tab w:val="left" w:pos="1562"/>
          <w:tab w:val="left" w:pos="1704"/>
          <w:tab w:val="left" w:pos="1846"/>
          <w:tab w:val="left" w:pos="1988"/>
          <w:tab w:val="left" w:pos="2130"/>
          <w:tab w:val="left" w:pos="2272"/>
          <w:tab w:val="left" w:pos="2414"/>
          <w:tab w:val="left" w:pos="2556"/>
          <w:tab w:val="left" w:pos="2698"/>
          <w:tab w:val="left" w:pos="2840"/>
          <w:tab w:val="left" w:pos="2982"/>
          <w:tab w:val="left" w:pos="3124"/>
          <w:tab w:val="left" w:pos="3266"/>
          <w:tab w:val="left" w:pos="3408"/>
          <w:tab w:val="left" w:pos="3550"/>
          <w:tab w:val="left" w:pos="3692"/>
          <w:tab w:val="left" w:pos="3834"/>
          <w:tab w:val="left" w:pos="3976"/>
          <w:tab w:val="left" w:pos="4118"/>
          <w:tab w:val="left" w:pos="4260"/>
          <w:tab w:val="left" w:pos="4402"/>
          <w:tab w:val="left" w:pos="4544"/>
          <w:tab w:val="left" w:pos="4686"/>
          <w:tab w:val="left" w:pos="4828"/>
          <w:tab w:val="left" w:pos="4970"/>
          <w:tab w:val="left" w:pos="5112"/>
          <w:tab w:val="left" w:pos="5254"/>
          <w:tab w:val="left" w:pos="5396"/>
          <w:tab w:val="left" w:pos="5538"/>
          <w:tab w:val="left" w:pos="5680"/>
          <w:tab w:val="left" w:pos="5822"/>
          <w:tab w:val="left" w:pos="5964"/>
          <w:tab w:val="left" w:pos="6106"/>
          <w:tab w:val="left" w:pos="6248"/>
          <w:tab w:val="left" w:pos="6390"/>
          <w:tab w:val="left" w:pos="6532"/>
          <w:tab w:val="left" w:pos="6674"/>
          <w:tab w:val="left" w:pos="6816"/>
          <w:tab w:val="left" w:pos="6958"/>
          <w:tab w:val="left" w:pos="7100"/>
          <w:tab w:val="left" w:pos="7242"/>
          <w:tab w:val="left" w:pos="7384"/>
          <w:tab w:val="left" w:pos="7526"/>
          <w:tab w:val="left" w:pos="7668"/>
          <w:tab w:val="left" w:pos="7810"/>
          <w:tab w:val="left" w:pos="7952"/>
          <w:tab w:val="left" w:pos="8094"/>
          <w:tab w:val="left" w:pos="8236"/>
          <w:tab w:val="left" w:pos="8378"/>
          <w:tab w:val="left" w:pos="8520"/>
          <w:tab w:val="left" w:pos="8662"/>
          <w:tab w:val="left" w:pos="8804"/>
          <w:tab w:val="left" w:pos="8860"/>
          <w:tab w:val="left" w:pos="8860"/>
        </w:tabs>
        <w:spacing w:before="0"/>
        <w:ind w:right="103"/>
        <w:jc w:val="both"/>
      </w:pPr>
      <w:r>
        <w:rPr>
          <w:rStyle w:val="None"/>
          <w:rFonts w:ascii="Spectral Regular" w:hAnsi="Spectral Regular"/>
        </w:rPr>
        <w:t>Series of 202</w:t>
      </w:r>
      <w:r w:rsidR="00BF3368">
        <w:rPr>
          <w:rStyle w:val="None"/>
          <w:rFonts w:ascii="Spectral Regular" w:hAnsi="Spectral Regular"/>
        </w:rPr>
        <w:t>4</w:t>
      </w:r>
    </w:p>
    <w:sectPr w:rsidR="005148A4">
      <w:headerReference w:type="default" r:id="rId8"/>
      <w:footerReference w:type="default" r:id="rId9"/>
      <w:pgSz w:w="12240" w:h="1872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3670C" w:rsidRDefault="0023670C">
      <w:r>
        <w:separator/>
      </w:r>
    </w:p>
  </w:endnote>
  <w:endnote w:type="continuationSeparator" w:id="0">
    <w:p w:rsidR="0023670C" w:rsidRDefault="00236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pectral Regular">
    <w:panose1 w:val="02020502060000000000"/>
    <w:charset w:val="4D"/>
    <w:family w:val="roman"/>
    <w:pitch w:val="variable"/>
    <w:sig w:usb0="E000027F" w:usb1="4000E43B"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pectral SemiBold">
    <w:panose1 w:val="02020502060000000000"/>
    <w:charset w:val="4D"/>
    <w:family w:val="roman"/>
    <w:pitch w:val="variable"/>
    <w:sig w:usb0="E000027F" w:usb1="4000E43B" w:usb2="00000000" w:usb3="00000000" w:csb0="00000197" w:csb1="00000000"/>
  </w:font>
  <w:font w:name="Roboto Regular">
    <w:altName w:val="Roboto"/>
    <w:panose1 w:val="020B0604020202020204"/>
    <w:charset w:val="00"/>
    <w:family w:val="roman"/>
    <w:pitch w:val="default"/>
  </w:font>
  <w:font w:name="Spectral Bold Italic">
    <w:altName w:val="Spectr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148A4" w:rsidRDefault="005148A4">
    <w:pPr>
      <w:pStyle w:val="HeaderFooter"/>
      <w:tabs>
        <w:tab w:val="clear" w:pos="9020"/>
        <w:tab w:val="center" w:pos="4680"/>
        <w:tab w:val="right" w:pos="9340"/>
      </w:tabs>
    </w:pPr>
  </w:p>
  <w:p w:rsidR="005148A4" w:rsidRDefault="00EB735E">
    <w:pPr>
      <w:pStyle w:val="HeaderFooter"/>
      <w:tabs>
        <w:tab w:val="clear" w:pos="9020"/>
        <w:tab w:val="center" w:pos="4680"/>
        <w:tab w:val="right" w:pos="9340"/>
      </w:tabs>
      <w:spacing w:line="168" w:lineRule="auto"/>
      <w:rPr>
        <w:sz w:val="20"/>
        <w:szCs w:val="20"/>
      </w:rPr>
    </w:pPr>
    <w:r>
      <w:rPr>
        <w:sz w:val="20"/>
        <w:szCs w:val="20"/>
      </w:rPr>
      <w:tab/>
      <w:t xml:space="preserve">Contract for the </w:t>
    </w:r>
  </w:p>
  <w:p w:rsidR="005148A4" w:rsidRDefault="00EB735E">
    <w:pPr>
      <w:pStyle w:val="HeaderFooter"/>
      <w:tabs>
        <w:tab w:val="clear" w:pos="9020"/>
        <w:tab w:val="center" w:pos="4680"/>
        <w:tab w:val="right" w:pos="9340"/>
      </w:tabs>
      <w:spacing w:line="168" w:lineRule="auto"/>
      <w:rPr>
        <w:rFonts w:ascii="Spectral SemiBold" w:eastAsia="Spectral SemiBold" w:hAnsi="Spectral SemiBold" w:cs="Spectral SemiBold"/>
        <w:sz w:val="20"/>
        <w:szCs w:val="20"/>
      </w:rPr>
    </w:pPr>
    <w:r>
      <w:rPr>
        <w:rFonts w:ascii="Spectral SemiBold" w:eastAsia="Spectral SemiBold" w:hAnsi="Spectral SemiBold" w:cs="Spectral SemiBold"/>
        <w:sz w:val="20"/>
        <w:szCs w:val="20"/>
      </w:rPr>
      <w:tab/>
      <w:t>Installation/renovation of &lt;state&gt;</w:t>
    </w:r>
  </w:p>
  <w:p w:rsidR="005148A4" w:rsidRDefault="00EB735E">
    <w:pPr>
      <w:pStyle w:val="HeaderFooter"/>
      <w:tabs>
        <w:tab w:val="clear" w:pos="9020"/>
        <w:tab w:val="center" w:pos="4680"/>
        <w:tab w:val="right" w:pos="9340"/>
      </w:tabs>
      <w:spacing w:line="168" w:lineRule="auto"/>
      <w:rPr>
        <w:sz w:val="20"/>
        <w:szCs w:val="20"/>
      </w:rPr>
    </w:pPr>
    <w:r>
      <w:rPr>
        <w:sz w:val="20"/>
        <w:szCs w:val="20"/>
      </w:rPr>
      <w:tab/>
      <w:t>&lt;College or Unit&gt;</w:t>
    </w:r>
  </w:p>
  <w:p w:rsidR="005148A4" w:rsidRDefault="00EB735E">
    <w:pPr>
      <w:pStyle w:val="HeaderFooter"/>
      <w:tabs>
        <w:tab w:val="clear" w:pos="9020"/>
        <w:tab w:val="center" w:pos="4680"/>
        <w:tab w:val="right" w:pos="9340"/>
      </w:tabs>
      <w:spacing w:line="168" w:lineRule="auto"/>
      <w:rPr>
        <w:sz w:val="20"/>
        <w:szCs w:val="20"/>
      </w:rPr>
    </w:pPr>
    <w:r>
      <w:rPr>
        <w:sz w:val="20"/>
        <w:szCs w:val="20"/>
      </w:rPr>
      <w:tab/>
      <w:t>University of the Philippines Manila</w:t>
    </w:r>
  </w:p>
  <w:p w:rsidR="005148A4" w:rsidRDefault="00EB735E">
    <w:pPr>
      <w:pStyle w:val="HeaderFooter"/>
      <w:tabs>
        <w:tab w:val="clear" w:pos="9020"/>
        <w:tab w:val="center" w:pos="4680"/>
        <w:tab w:val="right" w:pos="9340"/>
      </w:tabs>
      <w:spacing w:line="168" w:lineRule="auto"/>
    </w:pPr>
    <w:r>
      <w:rPr>
        <w:rStyle w:val="NoneA"/>
      </w:rPr>
      <w:tab/>
    </w:r>
    <w:r>
      <w:rPr>
        <w:rStyle w:val="NoneA"/>
      </w:rPr>
      <w:fldChar w:fldCharType="begin"/>
    </w:r>
    <w:r>
      <w:rPr>
        <w:rStyle w:val="NoneA"/>
      </w:rPr>
      <w:instrText xml:space="preserve"> PAGE </w:instrText>
    </w:r>
    <w:r>
      <w:rPr>
        <w:rStyle w:val="NoneA"/>
      </w:rPr>
      <w:fldChar w:fldCharType="separate"/>
    </w:r>
    <w:r w:rsidR="002A57CE">
      <w:rPr>
        <w:rStyle w:val="NoneA"/>
        <w:noProof/>
      </w:rPr>
      <w:t>1</w:t>
    </w:r>
    <w:r>
      <w:rPr>
        <w:rStyle w:val="None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3670C" w:rsidRDefault="0023670C">
      <w:r>
        <w:separator/>
      </w:r>
    </w:p>
  </w:footnote>
  <w:footnote w:type="continuationSeparator" w:id="0">
    <w:p w:rsidR="0023670C" w:rsidRDefault="0023670C">
      <w:r>
        <w:continuationSeparator/>
      </w:r>
    </w:p>
  </w:footnote>
  <w:footnote w:type="continuationNotice" w:id="1">
    <w:p w:rsidR="0023670C" w:rsidRDefault="0023670C"/>
  </w:footnote>
  <w:footnote w:id="2">
    <w:p w:rsidR="005148A4" w:rsidRDefault="00EB735E">
      <w:pPr>
        <w:pStyle w:val="Footnote"/>
      </w:pPr>
      <w:r>
        <w:rPr>
          <w:vertAlign w:val="superscript"/>
        </w:rPr>
        <w:footnoteRef/>
      </w:r>
      <w:r>
        <w:rPr>
          <w:rStyle w:val="NoneA"/>
          <w:rFonts w:eastAsia="Arial Unicode MS" w:cs="Arial Unicode MS"/>
        </w:rPr>
        <w:t xml:space="preserve"> </w:t>
      </w:r>
      <w:r>
        <w:rPr>
          <w:rFonts w:eastAsia="Arial Unicode MS" w:cs="Arial Unicode MS"/>
        </w:rPr>
        <w:t>Section 6.1., IRR of R.A. 9184.</w:t>
      </w:r>
    </w:p>
  </w:footnote>
  <w:footnote w:id="3">
    <w:p w:rsidR="005148A4" w:rsidRDefault="00EB735E">
      <w:pPr>
        <w:pStyle w:val="Footnote"/>
      </w:pPr>
      <w:r>
        <w:rPr>
          <w:vertAlign w:val="superscript"/>
        </w:rPr>
        <w:footnoteRef/>
      </w:r>
      <w:r>
        <w:rPr>
          <w:rFonts w:eastAsia="Arial Unicode MS" w:cs="Arial Unicode MS"/>
          <w:lang w:val="fr-FR"/>
        </w:rPr>
        <w:t xml:space="preserve"> Section 6.</w:t>
      </w:r>
      <w:r>
        <w:rPr>
          <w:rFonts w:eastAsia="Arial Unicode MS" w:cs="Arial Unicode MS"/>
        </w:rPr>
        <w:t>2</w:t>
      </w:r>
      <w:r>
        <w:rPr>
          <w:rFonts w:eastAsia="Arial Unicode MS" w:cs="Arial Unicode MS"/>
          <w:lang w:val="de-DE"/>
        </w:rPr>
        <w:t>., IRR of R.A. 9184.</w:t>
      </w:r>
    </w:p>
  </w:footnote>
  <w:footnote w:id="4">
    <w:p w:rsidR="005148A4" w:rsidRDefault="00EB735E">
      <w:pPr>
        <w:pStyle w:val="Footnote"/>
      </w:pPr>
      <w:r>
        <w:rPr>
          <w:vertAlign w:val="superscript"/>
        </w:rPr>
        <w:footnoteRef/>
      </w:r>
      <w:r>
        <w:rPr>
          <w:rFonts w:eastAsia="Arial Unicode MS" w:cs="Arial Unicode MS"/>
          <w:lang w:val="fr-FR"/>
        </w:rPr>
        <w:t xml:space="preserve"> Section 6.</w:t>
      </w:r>
      <w:r>
        <w:rPr>
          <w:rFonts w:eastAsia="Arial Unicode MS" w:cs="Arial Unicode MS"/>
        </w:rPr>
        <w:t>3</w:t>
      </w:r>
      <w:r>
        <w:rPr>
          <w:rStyle w:val="NoneA"/>
          <w:rFonts w:eastAsia="Arial Unicode MS" w:cs="Arial Unicode MS"/>
        </w:rPr>
        <w:t xml:space="preserve">., </w:t>
      </w:r>
      <w:r>
        <w:rPr>
          <w:rFonts w:eastAsia="Arial Unicode MS" w:cs="Arial Unicode MS"/>
        </w:rPr>
        <w:t xml:space="preserve">paragraph 1, </w:t>
      </w:r>
      <w:r>
        <w:rPr>
          <w:rFonts w:eastAsia="Arial Unicode MS" w:cs="Arial Unicode MS"/>
          <w:lang w:val="de-DE"/>
        </w:rPr>
        <w:t>IRR of R.A. 9184.</w:t>
      </w:r>
    </w:p>
  </w:footnote>
  <w:footnote w:id="5">
    <w:p w:rsidR="005148A4" w:rsidRDefault="00EB735E">
      <w:pPr>
        <w:pStyle w:val="Footnote"/>
      </w:pPr>
      <w:r>
        <w:rPr>
          <w:vertAlign w:val="superscript"/>
        </w:rPr>
        <w:footnoteRef/>
      </w:r>
      <w:r>
        <w:rPr>
          <w:rFonts w:eastAsia="Arial Unicode MS" w:cs="Arial Unicode MS"/>
          <w:lang w:val="fr-FR"/>
        </w:rPr>
        <w:t xml:space="preserve"> Section 6.3.,</w:t>
      </w:r>
      <w:r>
        <w:rPr>
          <w:rFonts w:eastAsia="Arial Unicode MS" w:cs="Arial Unicode MS"/>
        </w:rPr>
        <w:t xml:space="preserve"> paragraph 2, </w:t>
      </w:r>
      <w:r>
        <w:rPr>
          <w:rFonts w:eastAsia="Arial Unicode MS" w:cs="Arial Unicode MS"/>
          <w:lang w:val="de-DE"/>
        </w:rPr>
        <w:t xml:space="preserve"> IRR of R.A. 9184.</w:t>
      </w:r>
    </w:p>
  </w:footnote>
  <w:footnote w:id="6">
    <w:p w:rsidR="005148A4" w:rsidRDefault="00EB735E">
      <w:pPr>
        <w:pStyle w:val="Footnote"/>
      </w:pPr>
      <w:r>
        <w:rPr>
          <w:vertAlign w:val="superscript"/>
        </w:rPr>
        <w:footnoteRef/>
      </w:r>
      <w:r>
        <w:rPr>
          <w:rStyle w:val="NoneA"/>
          <w:rFonts w:eastAsia="Arial Unicode MS" w:cs="Arial Unicode MS"/>
        </w:rPr>
        <w:t xml:space="preserve"> </w:t>
      </w:r>
      <w:r>
        <w:rPr>
          <w:rFonts w:eastAsia="Arial Unicode MS" w:cs="Arial Unicode MS"/>
        </w:rPr>
        <w:t>Section 4.5,  Annex “D” of R.A. 9184 IRR.</w:t>
      </w:r>
    </w:p>
  </w:footnote>
  <w:footnote w:id="7">
    <w:p w:rsidR="005148A4" w:rsidRDefault="00EB735E">
      <w:pPr>
        <w:pStyle w:val="Footnote"/>
      </w:pPr>
      <w:r>
        <w:rPr>
          <w:vertAlign w:val="superscript"/>
        </w:rPr>
        <w:footnoteRef/>
      </w:r>
      <w:r>
        <w:rPr>
          <w:rStyle w:val="NoneA"/>
          <w:rFonts w:eastAsia="Arial Unicode MS" w:cs="Arial Unicode MS"/>
        </w:rPr>
        <w:t xml:space="preserve"> </w:t>
      </w:r>
      <w:r>
        <w:rPr>
          <w:rFonts w:eastAsia="Arial Unicode MS" w:cs="Arial Unicode MS"/>
        </w:rPr>
        <w:t>IV-1 of Annex “I”, R.A. 9184.</w:t>
      </w:r>
    </w:p>
  </w:footnote>
  <w:footnote w:id="8">
    <w:p w:rsidR="005148A4" w:rsidRDefault="00EB735E">
      <w:pPr>
        <w:pStyle w:val="Footnote"/>
      </w:pPr>
      <w:r>
        <w:rPr>
          <w:vertAlign w:val="superscript"/>
        </w:rPr>
        <w:footnoteRef/>
      </w:r>
      <w:r>
        <w:rPr>
          <w:rStyle w:val="NoneA"/>
          <w:rFonts w:eastAsia="Arial Unicode MS" w:cs="Arial Unicode MS"/>
        </w:rPr>
        <w:t xml:space="preserve"> </w:t>
      </w:r>
      <w:r>
        <w:rPr>
          <w:rFonts w:eastAsia="Arial Unicode MS" w:cs="Arial Unicode MS"/>
        </w:rPr>
        <w:t>IV-2 of Annex “I”, R.A. 9184.</w:t>
      </w:r>
    </w:p>
  </w:footnote>
  <w:footnote w:id="9">
    <w:p w:rsidR="005148A4" w:rsidRDefault="00EB735E">
      <w:pPr>
        <w:pStyle w:val="Footnote"/>
      </w:pPr>
      <w:r>
        <w:rPr>
          <w:spacing w:val="-5"/>
          <w:vertAlign w:val="superscript"/>
        </w:rPr>
        <w:footnoteRef/>
      </w:r>
      <w:r>
        <w:rPr>
          <w:rFonts w:eastAsia="Arial Unicode MS" w:cs="Arial Unicode MS"/>
          <w:lang w:val="da-DK"/>
        </w:rPr>
        <w:t xml:space="preserve"> IV-</w:t>
      </w:r>
      <w:r>
        <w:rPr>
          <w:rFonts w:eastAsia="Arial Unicode MS" w:cs="Arial Unicode MS"/>
        </w:rPr>
        <w:t xml:space="preserve">3 of Annex </w:t>
      </w:r>
      <w:r>
        <w:rPr>
          <w:rFonts w:ascii="Arial Unicode MS" w:hAnsi="Arial Unicode MS"/>
          <w:rtl/>
          <w:lang w:val="ar-SA"/>
        </w:rPr>
        <w:t>“</w:t>
      </w:r>
      <w:r>
        <w:rPr>
          <w:rStyle w:val="NoneA"/>
          <w:rFonts w:eastAsia="Arial Unicode MS" w:cs="Arial Unicode MS"/>
        </w:rPr>
        <w:t>I”, R.A. 9184.</w:t>
      </w:r>
    </w:p>
  </w:footnote>
  <w:footnote w:id="10">
    <w:p w:rsidR="005148A4" w:rsidRDefault="00EB735E">
      <w:pPr>
        <w:pStyle w:val="Footnote"/>
      </w:pPr>
      <w:r>
        <w:rPr>
          <w:vertAlign w:val="superscript"/>
        </w:rPr>
        <w:footnoteRef/>
      </w:r>
      <w:r>
        <w:rPr>
          <w:rFonts w:eastAsia="Arial Unicode MS" w:cs="Arial Unicode MS"/>
          <w:lang w:val="da-DK"/>
        </w:rPr>
        <w:t xml:space="preserve"> IV-</w:t>
      </w:r>
      <w:r>
        <w:rPr>
          <w:rFonts w:eastAsia="Arial Unicode MS" w:cs="Arial Unicode MS"/>
        </w:rPr>
        <w:t xml:space="preserve">4 of Annex </w:t>
      </w:r>
      <w:r>
        <w:rPr>
          <w:rFonts w:ascii="Arial Unicode MS" w:hAnsi="Arial Unicode MS"/>
          <w:rtl/>
          <w:lang w:val="ar-SA"/>
        </w:rPr>
        <w:t>“</w:t>
      </w:r>
      <w:r>
        <w:rPr>
          <w:rStyle w:val="NoneA"/>
          <w:rFonts w:eastAsia="Arial Unicode MS" w:cs="Arial Unicode MS"/>
        </w:rPr>
        <w:t>I”, R.A. 9184</w:t>
      </w:r>
      <w:r>
        <w:rPr>
          <w:rFonts w:eastAsia="Arial Unicode MS" w:cs="Arial Unicode MS"/>
        </w:rPr>
        <w:t xml:space="preserve"> IRR</w:t>
      </w:r>
      <w:r>
        <w:rPr>
          <w:rStyle w:val="NoneA"/>
          <w:rFonts w:eastAsia="Arial Unicode MS" w:cs="Arial Unicode MS"/>
        </w:rPr>
        <w:t>.</w:t>
      </w:r>
    </w:p>
  </w:footnote>
  <w:footnote w:id="11">
    <w:p w:rsidR="005148A4" w:rsidRDefault="00EB735E">
      <w:pPr>
        <w:pStyle w:val="Footnote"/>
      </w:pPr>
      <w:r>
        <w:rPr>
          <w:vertAlign w:val="superscript"/>
        </w:rPr>
        <w:footnoteRef/>
      </w:r>
      <w:r>
        <w:rPr>
          <w:rFonts w:eastAsia="Arial Unicode MS" w:cs="Arial Unicode MS"/>
          <w:lang w:val="da-DK"/>
        </w:rPr>
        <w:t xml:space="preserve"> IV-</w:t>
      </w:r>
      <w:r>
        <w:rPr>
          <w:rFonts w:eastAsia="Arial Unicode MS" w:cs="Arial Unicode MS"/>
        </w:rPr>
        <w:t xml:space="preserve">5 of Annex </w:t>
      </w:r>
      <w:r>
        <w:rPr>
          <w:rFonts w:ascii="Arial Unicode MS" w:hAnsi="Arial Unicode MS"/>
          <w:rtl/>
          <w:lang w:val="ar-SA"/>
        </w:rPr>
        <w:t>“</w:t>
      </w:r>
      <w:r>
        <w:rPr>
          <w:rStyle w:val="NoneA"/>
          <w:rFonts w:eastAsia="Arial Unicode MS" w:cs="Arial Unicode MS"/>
        </w:rPr>
        <w:t>I”</w:t>
      </w:r>
      <w:r>
        <w:rPr>
          <w:rFonts w:eastAsia="Arial Unicode MS" w:cs="Arial Unicode MS"/>
          <w:lang w:val="de-DE"/>
        </w:rPr>
        <w:t>, R.A. 9184 IRR</w:t>
      </w:r>
      <w:r>
        <w:rPr>
          <w:rFonts w:eastAsia="Arial Unicode MS" w:cs="Arial Unicode MS"/>
        </w:rPr>
        <w:t>.</w:t>
      </w:r>
    </w:p>
  </w:footnote>
  <w:footnote w:id="12">
    <w:p w:rsidR="005148A4" w:rsidRDefault="00EB735E">
      <w:pPr>
        <w:pStyle w:val="Footnote"/>
      </w:pPr>
      <w:r>
        <w:rPr>
          <w:vertAlign w:val="superscript"/>
        </w:rPr>
        <w:footnoteRef/>
      </w:r>
      <w:r>
        <w:rPr>
          <w:rFonts w:eastAsia="Arial Unicode MS" w:cs="Arial Unicode MS"/>
          <w:lang w:val="da-DK"/>
        </w:rPr>
        <w:t xml:space="preserve"> IV-</w:t>
      </w:r>
      <w:r>
        <w:rPr>
          <w:rFonts w:eastAsia="Arial Unicode MS" w:cs="Arial Unicode MS"/>
        </w:rPr>
        <w:t xml:space="preserve">6 of Annex </w:t>
      </w:r>
      <w:r>
        <w:rPr>
          <w:rFonts w:ascii="Arial Unicode MS" w:hAnsi="Arial Unicode MS"/>
          <w:rtl/>
          <w:lang w:val="ar-SA"/>
        </w:rPr>
        <w:t>“</w:t>
      </w:r>
      <w:r>
        <w:rPr>
          <w:rStyle w:val="NoneA"/>
          <w:rFonts w:eastAsia="Arial Unicode MS" w:cs="Arial Unicode MS"/>
        </w:rPr>
        <w:t>I”</w:t>
      </w:r>
      <w:r>
        <w:rPr>
          <w:rFonts w:eastAsia="Arial Unicode MS" w:cs="Arial Unicode MS"/>
          <w:lang w:val="de-DE"/>
        </w:rPr>
        <w:t>, R.A. 9184 IRR</w:t>
      </w:r>
      <w:r>
        <w:rPr>
          <w:rFonts w:eastAsia="Arial Unicode MS" w:cs="Arial Unicode MS"/>
        </w:rPr>
        <w:t>.</w:t>
      </w:r>
    </w:p>
  </w:footnote>
  <w:footnote w:id="13">
    <w:p w:rsidR="005148A4" w:rsidRDefault="00EB735E">
      <w:pPr>
        <w:pStyle w:val="Footnote"/>
      </w:pPr>
      <w:r>
        <w:rPr>
          <w:vertAlign w:val="superscript"/>
        </w:rPr>
        <w:footnoteRef/>
      </w:r>
      <w:r>
        <w:rPr>
          <w:rFonts w:eastAsia="Arial Unicode MS" w:cs="Arial Unicode MS"/>
          <w:lang w:val="da-DK"/>
        </w:rPr>
        <w:t xml:space="preserve"> IV-</w:t>
      </w:r>
      <w:r>
        <w:rPr>
          <w:rFonts w:eastAsia="Arial Unicode MS" w:cs="Arial Unicode MS"/>
        </w:rPr>
        <w:t xml:space="preserve">7 of Annex </w:t>
      </w:r>
      <w:r>
        <w:rPr>
          <w:rFonts w:ascii="Arial Unicode MS" w:hAnsi="Arial Unicode MS"/>
          <w:rtl/>
          <w:lang w:val="ar-SA"/>
        </w:rPr>
        <w:t>“</w:t>
      </w:r>
      <w:r>
        <w:rPr>
          <w:rStyle w:val="NoneA"/>
          <w:rFonts w:eastAsia="Arial Unicode MS" w:cs="Arial Unicode MS"/>
        </w:rPr>
        <w:t>I”</w:t>
      </w:r>
      <w:r>
        <w:rPr>
          <w:rFonts w:eastAsia="Arial Unicode MS" w:cs="Arial Unicode MS"/>
          <w:lang w:val="de-DE"/>
        </w:rPr>
        <w:t>, R.A. 9184 IRR.</w:t>
      </w:r>
    </w:p>
  </w:footnote>
  <w:footnote w:id="14">
    <w:p w:rsidR="005148A4" w:rsidRDefault="00EB735E">
      <w:pPr>
        <w:pStyle w:val="Footnote"/>
      </w:pPr>
      <w:r>
        <w:rPr>
          <w:vertAlign w:val="superscript"/>
        </w:rPr>
        <w:footnoteRef/>
      </w:r>
      <w:r>
        <w:rPr>
          <w:rFonts w:eastAsia="Arial Unicode MS" w:cs="Arial Unicode MS"/>
          <w:lang w:val="da-DK"/>
        </w:rPr>
        <w:t xml:space="preserve"> IV-</w:t>
      </w:r>
      <w:r>
        <w:rPr>
          <w:rFonts w:eastAsia="Arial Unicode MS" w:cs="Arial Unicode MS"/>
        </w:rPr>
        <w:t xml:space="preserve">8 of Annex </w:t>
      </w:r>
      <w:r>
        <w:rPr>
          <w:rFonts w:ascii="Arial Unicode MS" w:hAnsi="Arial Unicode MS"/>
          <w:rtl/>
          <w:lang w:val="ar-SA"/>
        </w:rPr>
        <w:t>“</w:t>
      </w:r>
      <w:r>
        <w:rPr>
          <w:rStyle w:val="NoneA"/>
          <w:rFonts w:eastAsia="Arial Unicode MS" w:cs="Arial Unicode MS"/>
        </w:rPr>
        <w:t>I”</w:t>
      </w:r>
      <w:r>
        <w:rPr>
          <w:rFonts w:eastAsia="Arial Unicode MS" w:cs="Arial Unicode MS"/>
          <w:lang w:val="de-DE"/>
        </w:rPr>
        <w:t>, R.A. 9184 IRR.</w:t>
      </w:r>
    </w:p>
  </w:footnote>
  <w:footnote w:id="15">
    <w:p w:rsidR="005148A4" w:rsidRDefault="00EB735E">
      <w:pPr>
        <w:pStyle w:val="Footnote"/>
      </w:pPr>
      <w:r>
        <w:rPr>
          <w:vertAlign w:val="superscript"/>
        </w:rPr>
        <w:footnoteRef/>
      </w:r>
      <w:r>
        <w:rPr>
          <w:rFonts w:eastAsia="Arial Unicode MS" w:cs="Arial Unicode MS"/>
          <w:lang w:val="da-DK"/>
        </w:rPr>
        <w:t xml:space="preserve"> IV-</w:t>
      </w:r>
      <w:r>
        <w:rPr>
          <w:rFonts w:eastAsia="Arial Unicode MS" w:cs="Arial Unicode MS"/>
        </w:rPr>
        <w:t xml:space="preserve">9 of Annex </w:t>
      </w:r>
      <w:r>
        <w:rPr>
          <w:rFonts w:ascii="Arial Unicode MS" w:hAnsi="Arial Unicode MS"/>
          <w:rtl/>
          <w:lang w:val="ar-SA"/>
        </w:rPr>
        <w:t>“</w:t>
      </w:r>
      <w:r>
        <w:rPr>
          <w:rStyle w:val="NoneA"/>
          <w:rFonts w:eastAsia="Arial Unicode MS" w:cs="Arial Unicode MS"/>
        </w:rPr>
        <w:t>I”</w:t>
      </w:r>
      <w:r>
        <w:rPr>
          <w:rFonts w:eastAsia="Arial Unicode MS" w:cs="Arial Unicode MS"/>
          <w:lang w:val="de-DE"/>
        </w:rPr>
        <w:t>, R.A. 9184 IRR.</w:t>
      </w:r>
    </w:p>
  </w:footnote>
  <w:footnote w:id="16">
    <w:p w:rsidR="005148A4" w:rsidRDefault="00EB735E">
      <w:pPr>
        <w:pStyle w:val="Footnote"/>
      </w:pPr>
      <w:r>
        <w:rPr>
          <w:vertAlign w:val="superscript"/>
        </w:rPr>
        <w:footnoteRef/>
      </w:r>
      <w:r>
        <w:rPr>
          <w:rStyle w:val="NoneA"/>
          <w:rFonts w:eastAsia="Arial Unicode MS" w:cs="Arial Unicode MS"/>
        </w:rPr>
        <w:t xml:space="preserve"> </w:t>
      </w:r>
      <w:r>
        <w:rPr>
          <w:rFonts w:eastAsia="Arial Unicode MS" w:cs="Arial Unicode MS"/>
        </w:rPr>
        <w:t>Section 59.1, Rule XVIII, R.A. 9184 IRR.</w:t>
      </w:r>
    </w:p>
  </w:footnote>
  <w:footnote w:id="17">
    <w:p w:rsidR="005148A4" w:rsidRDefault="00EB735E">
      <w:pPr>
        <w:pStyle w:val="Footnote"/>
      </w:pPr>
      <w:r>
        <w:rPr>
          <w:vertAlign w:val="superscript"/>
        </w:rPr>
        <w:footnoteRef/>
      </w:r>
      <w:r>
        <w:rPr>
          <w:rStyle w:val="NoneA"/>
          <w:rFonts w:eastAsia="Arial Unicode MS" w:cs="Arial Unicode MS"/>
        </w:rPr>
        <w:t xml:space="preserve"> </w:t>
      </w:r>
      <w:r>
        <w:rPr>
          <w:rFonts w:eastAsia="Arial Unicode MS" w:cs="Arial Unicode MS"/>
        </w:rPr>
        <w:t xml:space="preserve">Section </w:t>
      </w:r>
      <w:r>
        <w:rPr>
          <w:rStyle w:val="NoneA"/>
          <w:rFonts w:eastAsia="Arial Unicode MS" w:cs="Arial Unicode MS"/>
        </w:rPr>
        <w:t>59.</w:t>
      </w:r>
      <w:r>
        <w:rPr>
          <w:rFonts w:eastAsia="Arial Unicode MS" w:cs="Arial Unicode MS"/>
        </w:rPr>
        <w:t>2</w:t>
      </w:r>
      <w:r>
        <w:rPr>
          <w:rFonts w:eastAsia="Arial Unicode MS" w:cs="Arial Unicode MS"/>
          <w:lang w:val="de-DE"/>
        </w:rPr>
        <w:t>, Rule XVIII, R.A. 9184 IRR.</w:t>
      </w:r>
    </w:p>
  </w:footnote>
  <w:footnote w:id="18">
    <w:p w:rsidR="005148A4" w:rsidRDefault="00EB735E">
      <w:pPr>
        <w:pStyle w:val="Footnote"/>
      </w:pPr>
      <w:r>
        <w:rPr>
          <w:vertAlign w:val="superscript"/>
        </w:rPr>
        <w:footnoteRef/>
      </w:r>
      <w:r>
        <w:rPr>
          <w:rStyle w:val="NoneA"/>
          <w:rFonts w:eastAsia="Arial Unicode MS" w:cs="Arial Unicode MS"/>
        </w:rPr>
        <w:t xml:space="preserve"> </w:t>
      </w:r>
      <w:r>
        <w:rPr>
          <w:rFonts w:eastAsia="Arial Unicode MS" w:cs="Arial Unicode MS"/>
        </w:rPr>
        <w:t>Section 60</w:t>
      </w:r>
      <w:r>
        <w:rPr>
          <w:rFonts w:eastAsia="Arial Unicode MS" w:cs="Arial Unicode MS"/>
          <w:lang w:val="de-DE"/>
        </w:rPr>
        <w:t>, Rule XVIII, R.A. 9184 IRR.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148A4" w:rsidRDefault="00EB735E">
    <w:pPr>
      <w:pStyle w:val="HeaderFooter"/>
      <w:tabs>
        <w:tab w:val="clear" w:pos="9020"/>
        <w:tab w:val="center" w:pos="4680"/>
        <w:tab w:val="right" w:pos="9340"/>
      </w:tabs>
    </w:pPr>
    <w:r>
      <w:rPr>
        <w:color w:val="919191"/>
        <w:sz w:val="20"/>
        <w:szCs w:val="20"/>
        <w:u w:color="919191"/>
      </w:rPr>
      <w:t xml:space="preserve">UPMLO FORM NO. </w:t>
    </w:r>
    <w:proofErr w:type="gramStart"/>
    <w:r>
      <w:rPr>
        <w:color w:val="919191"/>
        <w:sz w:val="20"/>
        <w:szCs w:val="20"/>
        <w:u w:color="919191"/>
      </w:rPr>
      <w:t>123  Contract</w:t>
    </w:r>
    <w:proofErr w:type="gramEnd"/>
    <w:r>
      <w:rPr>
        <w:color w:val="919191"/>
        <w:sz w:val="20"/>
        <w:szCs w:val="20"/>
        <w:u w:color="919191"/>
      </w:rPr>
      <w:t xml:space="preserve"> for installation with supply of materials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1182"/>
    <w:multiLevelType w:val="hybridMultilevel"/>
    <w:tmpl w:val="A8EC0B48"/>
    <w:styleLink w:val="ImportedStyle10"/>
    <w:lvl w:ilvl="0" w:tplc="1C788BD0">
      <w:start w:val="1"/>
      <w:numFmt w:val="lowerLetter"/>
      <w:lvlText w:val="%1."/>
      <w:lvlJc w:val="left"/>
      <w:pPr>
        <w:tabs>
          <w:tab w:val="left" w:pos="1208"/>
        </w:tabs>
        <w:ind w:left="120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336E7866">
      <w:start w:val="1"/>
      <w:numFmt w:val="lowerLetter"/>
      <w:lvlText w:val="%2."/>
      <w:lvlJc w:val="left"/>
      <w:pPr>
        <w:tabs>
          <w:tab w:val="left" w:pos="1208"/>
        </w:tabs>
        <w:ind w:left="108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50346258">
      <w:start w:val="1"/>
      <w:numFmt w:val="lowerLetter"/>
      <w:lvlText w:val="%3."/>
      <w:lvlJc w:val="left"/>
      <w:pPr>
        <w:tabs>
          <w:tab w:val="left" w:pos="1208"/>
        </w:tabs>
        <w:ind w:left="18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51C45784">
      <w:start w:val="1"/>
      <w:numFmt w:val="lowerLetter"/>
      <w:lvlText w:val="%4."/>
      <w:lvlJc w:val="left"/>
      <w:pPr>
        <w:tabs>
          <w:tab w:val="left" w:pos="1208"/>
        </w:tabs>
        <w:ind w:left="252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F61AC37A">
      <w:start w:val="1"/>
      <w:numFmt w:val="lowerLetter"/>
      <w:lvlText w:val="%5."/>
      <w:lvlJc w:val="left"/>
      <w:pPr>
        <w:tabs>
          <w:tab w:val="left" w:pos="1208"/>
        </w:tabs>
        <w:ind w:left="324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BCA454CC">
      <w:start w:val="1"/>
      <w:numFmt w:val="lowerLetter"/>
      <w:lvlText w:val="%6."/>
      <w:lvlJc w:val="left"/>
      <w:pPr>
        <w:tabs>
          <w:tab w:val="left" w:pos="1208"/>
        </w:tabs>
        <w:ind w:left="396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8CDEA0F2">
      <w:start w:val="1"/>
      <w:numFmt w:val="lowerLetter"/>
      <w:lvlText w:val="%7."/>
      <w:lvlJc w:val="left"/>
      <w:pPr>
        <w:tabs>
          <w:tab w:val="left" w:pos="1208"/>
        </w:tabs>
        <w:ind w:left="468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DBB8B67A">
      <w:start w:val="1"/>
      <w:numFmt w:val="lowerLetter"/>
      <w:lvlText w:val="%8."/>
      <w:lvlJc w:val="left"/>
      <w:pPr>
        <w:tabs>
          <w:tab w:val="left" w:pos="1208"/>
        </w:tabs>
        <w:ind w:left="54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DED4FD44">
      <w:start w:val="1"/>
      <w:numFmt w:val="lowerLetter"/>
      <w:lvlText w:val="%9."/>
      <w:lvlJc w:val="left"/>
      <w:pPr>
        <w:tabs>
          <w:tab w:val="left" w:pos="1208"/>
        </w:tabs>
        <w:ind w:left="612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3021E1F"/>
    <w:multiLevelType w:val="hybridMultilevel"/>
    <w:tmpl w:val="CBD645A8"/>
    <w:numStyleLink w:val="ImportedStyle8"/>
  </w:abstractNum>
  <w:abstractNum w:abstractNumId="2" w15:restartNumberingAfterBreak="0">
    <w:nsid w:val="130D7BC8"/>
    <w:multiLevelType w:val="hybridMultilevel"/>
    <w:tmpl w:val="D74C118E"/>
    <w:styleLink w:val="Lettered"/>
    <w:lvl w:ilvl="0" w:tplc="C6E2887C">
      <w:start w:val="1"/>
      <w:numFmt w:val="lowerLetter"/>
      <w:lvlText w:val="%1."/>
      <w:lvlJc w:val="left"/>
      <w:pPr>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1" w:tplc="A44C9048">
      <w:start w:val="1"/>
      <w:numFmt w:val="lowerLetter"/>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C790826E">
      <w:start w:val="1"/>
      <w:numFmt w:val="lowerLetter"/>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37B450AA">
      <w:start w:val="1"/>
      <w:numFmt w:val="lowerLetter"/>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063EE3AA">
      <w:start w:val="1"/>
      <w:numFmt w:val="lowerLetter"/>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6E0AED46">
      <w:start w:val="1"/>
      <w:numFmt w:val="lowerLetter"/>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3A9E2FEE">
      <w:start w:val="1"/>
      <w:numFmt w:val="lowerLetter"/>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3A729AD4">
      <w:start w:val="1"/>
      <w:numFmt w:val="lowerLetter"/>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58C0338C">
      <w:start w:val="1"/>
      <w:numFmt w:val="lowerLetter"/>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65160B1"/>
    <w:multiLevelType w:val="hybridMultilevel"/>
    <w:tmpl w:val="6AB07D62"/>
    <w:styleLink w:val="ImportedStyle1"/>
    <w:lvl w:ilvl="0" w:tplc="85326722">
      <w:start w:val="1"/>
      <w:numFmt w:val="lowerLetter"/>
      <w:lvlText w:val="%1."/>
      <w:lvlJc w:val="left"/>
      <w:pPr>
        <w:ind w:left="1298"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F09ACCD0">
      <w:start w:val="1"/>
      <w:numFmt w:val="lowerLetter"/>
      <w:lvlText w:val="%2."/>
      <w:lvlJc w:val="left"/>
      <w:pPr>
        <w:ind w:left="108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BCF45F12">
      <w:start w:val="1"/>
      <w:numFmt w:val="lowerLetter"/>
      <w:lvlText w:val="%3."/>
      <w:lvlJc w:val="left"/>
      <w:pPr>
        <w:ind w:left="18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C09EE4DA">
      <w:start w:val="1"/>
      <w:numFmt w:val="lowerLetter"/>
      <w:lvlText w:val="%4."/>
      <w:lvlJc w:val="left"/>
      <w:pPr>
        <w:ind w:left="252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3AE83526">
      <w:start w:val="1"/>
      <w:numFmt w:val="lowerLetter"/>
      <w:lvlText w:val="%5."/>
      <w:lvlJc w:val="left"/>
      <w:pPr>
        <w:ind w:left="324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6076F47E">
      <w:start w:val="1"/>
      <w:numFmt w:val="lowerLetter"/>
      <w:lvlText w:val="%6."/>
      <w:lvlJc w:val="left"/>
      <w:pPr>
        <w:ind w:left="396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117E7B22">
      <w:start w:val="1"/>
      <w:numFmt w:val="lowerLetter"/>
      <w:lvlText w:val="%7."/>
      <w:lvlJc w:val="left"/>
      <w:pPr>
        <w:ind w:left="468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50A8A91C">
      <w:start w:val="1"/>
      <w:numFmt w:val="lowerLetter"/>
      <w:lvlText w:val="%8."/>
      <w:lvlJc w:val="left"/>
      <w:pPr>
        <w:ind w:left="54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274CE628">
      <w:start w:val="1"/>
      <w:numFmt w:val="lowerLetter"/>
      <w:lvlText w:val="%9."/>
      <w:lvlJc w:val="left"/>
      <w:pPr>
        <w:ind w:left="612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7380705"/>
    <w:multiLevelType w:val="hybridMultilevel"/>
    <w:tmpl w:val="28E2E478"/>
    <w:numStyleLink w:val="ImportedStyle5"/>
  </w:abstractNum>
  <w:abstractNum w:abstractNumId="5" w15:restartNumberingAfterBreak="0">
    <w:nsid w:val="173F01A0"/>
    <w:multiLevelType w:val="hybridMultilevel"/>
    <w:tmpl w:val="0EF4E896"/>
    <w:styleLink w:val="ImportedStyle3"/>
    <w:lvl w:ilvl="0" w:tplc="74CAC63A">
      <w:start w:val="1"/>
      <w:numFmt w:val="lowerLetter"/>
      <w:lvlText w:val="%1."/>
      <w:lvlJc w:val="left"/>
      <w:pPr>
        <w:tabs>
          <w:tab w:val="left" w:pos="1208"/>
        </w:tabs>
        <w:ind w:left="120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111E0C78">
      <w:start w:val="1"/>
      <w:numFmt w:val="lowerLetter"/>
      <w:lvlText w:val="%2."/>
      <w:lvlJc w:val="left"/>
      <w:pPr>
        <w:tabs>
          <w:tab w:val="left" w:pos="1208"/>
        </w:tabs>
        <w:ind w:left="108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9E9AFA9A">
      <w:start w:val="1"/>
      <w:numFmt w:val="lowerLetter"/>
      <w:lvlText w:val="%3."/>
      <w:lvlJc w:val="left"/>
      <w:pPr>
        <w:tabs>
          <w:tab w:val="left" w:pos="1208"/>
        </w:tabs>
        <w:ind w:left="18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A2D0A7AA">
      <w:start w:val="1"/>
      <w:numFmt w:val="lowerLetter"/>
      <w:lvlText w:val="%4."/>
      <w:lvlJc w:val="left"/>
      <w:pPr>
        <w:tabs>
          <w:tab w:val="left" w:pos="1208"/>
        </w:tabs>
        <w:ind w:left="252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C576ED4A">
      <w:start w:val="1"/>
      <w:numFmt w:val="lowerLetter"/>
      <w:lvlText w:val="%5."/>
      <w:lvlJc w:val="left"/>
      <w:pPr>
        <w:tabs>
          <w:tab w:val="left" w:pos="1208"/>
        </w:tabs>
        <w:ind w:left="324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F3B639FC">
      <w:start w:val="1"/>
      <w:numFmt w:val="lowerLetter"/>
      <w:lvlText w:val="%6."/>
      <w:lvlJc w:val="left"/>
      <w:pPr>
        <w:tabs>
          <w:tab w:val="left" w:pos="1208"/>
        </w:tabs>
        <w:ind w:left="396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D7B252D6">
      <w:start w:val="1"/>
      <w:numFmt w:val="lowerLetter"/>
      <w:lvlText w:val="%7."/>
      <w:lvlJc w:val="left"/>
      <w:pPr>
        <w:tabs>
          <w:tab w:val="left" w:pos="1208"/>
        </w:tabs>
        <w:ind w:left="468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50BA6F60">
      <w:start w:val="1"/>
      <w:numFmt w:val="lowerLetter"/>
      <w:lvlText w:val="%8."/>
      <w:lvlJc w:val="left"/>
      <w:pPr>
        <w:tabs>
          <w:tab w:val="left" w:pos="1208"/>
        </w:tabs>
        <w:ind w:left="54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58CCF9BE">
      <w:start w:val="1"/>
      <w:numFmt w:val="lowerLetter"/>
      <w:lvlText w:val="%9."/>
      <w:lvlJc w:val="left"/>
      <w:pPr>
        <w:tabs>
          <w:tab w:val="left" w:pos="1208"/>
        </w:tabs>
        <w:ind w:left="612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E5C5911"/>
    <w:multiLevelType w:val="hybridMultilevel"/>
    <w:tmpl w:val="10FE4B3A"/>
    <w:numStyleLink w:val="ImportedStyle2"/>
  </w:abstractNum>
  <w:abstractNum w:abstractNumId="7" w15:restartNumberingAfterBreak="0">
    <w:nsid w:val="254E5DBF"/>
    <w:multiLevelType w:val="hybridMultilevel"/>
    <w:tmpl w:val="A8EC0B48"/>
    <w:numStyleLink w:val="ImportedStyle10"/>
  </w:abstractNum>
  <w:abstractNum w:abstractNumId="8" w15:restartNumberingAfterBreak="0">
    <w:nsid w:val="2DF70BF9"/>
    <w:multiLevelType w:val="hybridMultilevel"/>
    <w:tmpl w:val="6AB07D62"/>
    <w:numStyleLink w:val="ImportedStyle1"/>
  </w:abstractNum>
  <w:abstractNum w:abstractNumId="9" w15:restartNumberingAfterBreak="0">
    <w:nsid w:val="2E95342D"/>
    <w:multiLevelType w:val="hybridMultilevel"/>
    <w:tmpl w:val="CBD645A8"/>
    <w:styleLink w:val="ImportedStyle8"/>
    <w:lvl w:ilvl="0" w:tplc="A9DCF4F8">
      <w:start w:val="1"/>
      <w:numFmt w:val="lowerLetter"/>
      <w:lvlText w:val="%1."/>
      <w:lvlJc w:val="left"/>
      <w:pPr>
        <w:ind w:left="1208"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89A6494C">
      <w:start w:val="1"/>
      <w:numFmt w:val="lowerLetter"/>
      <w:lvlText w:val="%2."/>
      <w:lvlJc w:val="left"/>
      <w:pPr>
        <w:ind w:left="108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4066D2B4">
      <w:start w:val="1"/>
      <w:numFmt w:val="lowerLetter"/>
      <w:lvlText w:val="%3."/>
      <w:lvlJc w:val="left"/>
      <w:pPr>
        <w:ind w:left="18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F0E0698C">
      <w:start w:val="1"/>
      <w:numFmt w:val="lowerLetter"/>
      <w:lvlText w:val="%4."/>
      <w:lvlJc w:val="left"/>
      <w:pPr>
        <w:ind w:left="252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8E8620B2">
      <w:start w:val="1"/>
      <w:numFmt w:val="lowerLetter"/>
      <w:lvlText w:val="%5."/>
      <w:lvlJc w:val="left"/>
      <w:pPr>
        <w:ind w:left="324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93906A5C">
      <w:start w:val="1"/>
      <w:numFmt w:val="lowerLetter"/>
      <w:lvlText w:val="%6."/>
      <w:lvlJc w:val="left"/>
      <w:pPr>
        <w:ind w:left="396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A36CD1AE">
      <w:start w:val="1"/>
      <w:numFmt w:val="lowerLetter"/>
      <w:lvlText w:val="%7."/>
      <w:lvlJc w:val="left"/>
      <w:pPr>
        <w:ind w:left="468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885484EC">
      <w:start w:val="1"/>
      <w:numFmt w:val="lowerLetter"/>
      <w:lvlText w:val="%8."/>
      <w:lvlJc w:val="left"/>
      <w:pPr>
        <w:ind w:left="54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C5C80014">
      <w:start w:val="1"/>
      <w:numFmt w:val="lowerLetter"/>
      <w:lvlText w:val="%9."/>
      <w:lvlJc w:val="left"/>
      <w:pPr>
        <w:ind w:left="612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18B68DD"/>
    <w:multiLevelType w:val="hybridMultilevel"/>
    <w:tmpl w:val="596E6684"/>
    <w:styleLink w:val="ImportedStyle6"/>
    <w:lvl w:ilvl="0" w:tplc="52109230">
      <w:start w:val="1"/>
      <w:numFmt w:val="lowerLetter"/>
      <w:lvlText w:val="%1."/>
      <w:lvlJc w:val="left"/>
      <w:pPr>
        <w:tabs>
          <w:tab w:val="left" w:pos="848"/>
        </w:tabs>
        <w:ind w:left="84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D8EED11E">
      <w:start w:val="1"/>
      <w:numFmt w:val="lowerLetter"/>
      <w:lvlText w:val="%2."/>
      <w:lvlJc w:val="left"/>
      <w:pPr>
        <w:tabs>
          <w:tab w:val="left" w:pos="1208"/>
        </w:tabs>
        <w:ind w:left="120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FE5841D2">
      <w:start w:val="1"/>
      <w:numFmt w:val="lowerLetter"/>
      <w:lvlText w:val="%3."/>
      <w:lvlJc w:val="left"/>
      <w:pPr>
        <w:tabs>
          <w:tab w:val="left" w:pos="1208"/>
        </w:tabs>
        <w:ind w:left="2054"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835A8B0E">
      <w:start w:val="1"/>
      <w:numFmt w:val="lowerLetter"/>
      <w:lvlText w:val="%4."/>
      <w:lvlJc w:val="left"/>
      <w:pPr>
        <w:tabs>
          <w:tab w:val="left" w:pos="1208"/>
        </w:tabs>
        <w:ind w:left="2901"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35021ECE">
      <w:start w:val="1"/>
      <w:numFmt w:val="lowerLetter"/>
      <w:lvlText w:val="%5."/>
      <w:lvlJc w:val="left"/>
      <w:pPr>
        <w:tabs>
          <w:tab w:val="left" w:pos="1208"/>
        </w:tabs>
        <w:ind w:left="3748"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47085F04">
      <w:start w:val="1"/>
      <w:numFmt w:val="lowerLetter"/>
      <w:lvlText w:val="%6."/>
      <w:lvlJc w:val="left"/>
      <w:pPr>
        <w:tabs>
          <w:tab w:val="left" w:pos="1208"/>
        </w:tabs>
        <w:ind w:left="4595"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7526AA86">
      <w:start w:val="1"/>
      <w:numFmt w:val="lowerLetter"/>
      <w:lvlText w:val="%7."/>
      <w:lvlJc w:val="left"/>
      <w:pPr>
        <w:tabs>
          <w:tab w:val="left" w:pos="1208"/>
        </w:tabs>
        <w:ind w:left="5442"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6742EA2C">
      <w:start w:val="1"/>
      <w:numFmt w:val="lowerLetter"/>
      <w:lvlText w:val="%8."/>
      <w:lvlJc w:val="left"/>
      <w:pPr>
        <w:tabs>
          <w:tab w:val="left" w:pos="1208"/>
        </w:tabs>
        <w:ind w:left="6289"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23780DBA">
      <w:start w:val="1"/>
      <w:numFmt w:val="lowerLetter"/>
      <w:lvlText w:val="%9."/>
      <w:lvlJc w:val="left"/>
      <w:pPr>
        <w:tabs>
          <w:tab w:val="left" w:pos="1208"/>
        </w:tabs>
        <w:ind w:left="7136"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1017720"/>
    <w:multiLevelType w:val="hybridMultilevel"/>
    <w:tmpl w:val="F0688BB4"/>
    <w:numStyleLink w:val="ImportedStyle9"/>
  </w:abstractNum>
  <w:abstractNum w:abstractNumId="12" w15:restartNumberingAfterBreak="0">
    <w:nsid w:val="421274A0"/>
    <w:multiLevelType w:val="hybridMultilevel"/>
    <w:tmpl w:val="F3B8928E"/>
    <w:styleLink w:val="ImportedStyle4"/>
    <w:lvl w:ilvl="0" w:tplc="FE1E5B9A">
      <w:start w:val="1"/>
      <w:numFmt w:val="lowerLetter"/>
      <w:lvlText w:val="%1."/>
      <w:lvlJc w:val="left"/>
      <w:pPr>
        <w:tabs>
          <w:tab w:val="left" w:pos="1208"/>
        </w:tabs>
        <w:ind w:left="120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ABA457CA">
      <w:start w:val="1"/>
      <w:numFmt w:val="decimal"/>
      <w:lvlText w:val="(%2)"/>
      <w:lvlJc w:val="left"/>
      <w:pPr>
        <w:tabs>
          <w:tab w:val="left" w:pos="1208"/>
        </w:tabs>
        <w:ind w:left="2091"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34785F2E">
      <w:start w:val="1"/>
      <w:numFmt w:val="decimal"/>
      <w:lvlText w:val="(%3)"/>
      <w:lvlJc w:val="left"/>
      <w:pPr>
        <w:tabs>
          <w:tab w:val="left" w:pos="1208"/>
        </w:tabs>
        <w:ind w:left="3822"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DE3AF2F4">
      <w:start w:val="1"/>
      <w:numFmt w:val="decimal"/>
      <w:lvlText w:val="(%4)"/>
      <w:lvlJc w:val="left"/>
      <w:pPr>
        <w:tabs>
          <w:tab w:val="left" w:pos="1208"/>
        </w:tabs>
        <w:ind w:left="5553"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23303CFE">
      <w:start w:val="1"/>
      <w:numFmt w:val="decimal"/>
      <w:lvlText w:val="(%5)"/>
      <w:lvlJc w:val="left"/>
      <w:pPr>
        <w:tabs>
          <w:tab w:val="left" w:pos="1208"/>
        </w:tabs>
        <w:ind w:left="7284"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2B20F720">
      <w:start w:val="1"/>
      <w:numFmt w:val="decimal"/>
      <w:lvlText w:val="(%6)"/>
      <w:lvlJc w:val="left"/>
      <w:pPr>
        <w:tabs>
          <w:tab w:val="left" w:pos="1208"/>
        </w:tabs>
        <w:ind w:left="9015"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239C6232">
      <w:start w:val="1"/>
      <w:numFmt w:val="decimal"/>
      <w:lvlText w:val="(%7)"/>
      <w:lvlJc w:val="left"/>
      <w:pPr>
        <w:tabs>
          <w:tab w:val="left" w:pos="1208"/>
        </w:tabs>
        <w:ind w:left="10746"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93022854">
      <w:start w:val="1"/>
      <w:numFmt w:val="decimal"/>
      <w:lvlText w:val="(%8)"/>
      <w:lvlJc w:val="left"/>
      <w:pPr>
        <w:tabs>
          <w:tab w:val="left" w:pos="1208"/>
        </w:tabs>
        <w:ind w:left="1247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6B8EC6E0">
      <w:start w:val="1"/>
      <w:numFmt w:val="decimal"/>
      <w:lvlText w:val="(%9)"/>
      <w:lvlJc w:val="left"/>
      <w:pPr>
        <w:tabs>
          <w:tab w:val="left" w:pos="1208"/>
        </w:tabs>
        <w:ind w:left="14208"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351434F"/>
    <w:multiLevelType w:val="hybridMultilevel"/>
    <w:tmpl w:val="F0688BB4"/>
    <w:styleLink w:val="ImportedStyle9"/>
    <w:lvl w:ilvl="0" w:tplc="03C2670A">
      <w:start w:val="1"/>
      <w:numFmt w:val="lowerLetter"/>
      <w:lvlText w:val="%1."/>
      <w:lvlJc w:val="left"/>
      <w:pPr>
        <w:tabs>
          <w:tab w:val="num" w:pos="1695"/>
        </w:tabs>
        <w:ind w:left="975" w:firstLine="359"/>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5510A222">
      <w:start w:val="1"/>
      <w:numFmt w:val="lowerLetter"/>
      <w:lvlText w:val="%2."/>
      <w:lvlJc w:val="left"/>
      <w:pPr>
        <w:tabs>
          <w:tab w:val="left" w:pos="1695"/>
          <w:tab w:val="num" w:pos="2055"/>
        </w:tabs>
        <w:ind w:left="1335" w:firstLine="359"/>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5A3AC74E">
      <w:start w:val="1"/>
      <w:numFmt w:val="lowerLetter"/>
      <w:lvlText w:val="%3."/>
      <w:lvlJc w:val="left"/>
      <w:pPr>
        <w:tabs>
          <w:tab w:val="left" w:pos="1695"/>
          <w:tab w:val="num" w:pos="2902"/>
        </w:tabs>
        <w:ind w:left="2182" w:firstLine="359"/>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AEC67B10">
      <w:start w:val="1"/>
      <w:numFmt w:val="lowerLetter"/>
      <w:lvlText w:val="%4."/>
      <w:lvlJc w:val="left"/>
      <w:pPr>
        <w:tabs>
          <w:tab w:val="left" w:pos="1695"/>
          <w:tab w:val="num" w:pos="3749"/>
        </w:tabs>
        <w:ind w:left="3029" w:firstLine="359"/>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B3CC0B92">
      <w:start w:val="1"/>
      <w:numFmt w:val="lowerLetter"/>
      <w:lvlText w:val="%5."/>
      <w:lvlJc w:val="left"/>
      <w:pPr>
        <w:tabs>
          <w:tab w:val="left" w:pos="1695"/>
          <w:tab w:val="num" w:pos="4596"/>
        </w:tabs>
        <w:ind w:left="3876" w:firstLine="359"/>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4776D386">
      <w:start w:val="1"/>
      <w:numFmt w:val="lowerLetter"/>
      <w:lvlText w:val="%6."/>
      <w:lvlJc w:val="left"/>
      <w:pPr>
        <w:tabs>
          <w:tab w:val="left" w:pos="1695"/>
          <w:tab w:val="num" w:pos="5443"/>
        </w:tabs>
        <w:ind w:left="4723" w:firstLine="359"/>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501A8A64">
      <w:start w:val="1"/>
      <w:numFmt w:val="lowerLetter"/>
      <w:lvlText w:val="%7."/>
      <w:lvlJc w:val="left"/>
      <w:pPr>
        <w:tabs>
          <w:tab w:val="left" w:pos="1695"/>
          <w:tab w:val="num" w:pos="6290"/>
        </w:tabs>
        <w:ind w:left="5570" w:firstLine="359"/>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9A74D376">
      <w:start w:val="1"/>
      <w:numFmt w:val="lowerLetter"/>
      <w:lvlText w:val="%8."/>
      <w:lvlJc w:val="left"/>
      <w:pPr>
        <w:tabs>
          <w:tab w:val="left" w:pos="1695"/>
          <w:tab w:val="num" w:pos="7137"/>
        </w:tabs>
        <w:ind w:left="6417" w:firstLine="359"/>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D8468150">
      <w:start w:val="1"/>
      <w:numFmt w:val="lowerLetter"/>
      <w:lvlText w:val="%9."/>
      <w:lvlJc w:val="left"/>
      <w:pPr>
        <w:tabs>
          <w:tab w:val="left" w:pos="1695"/>
          <w:tab w:val="num" w:pos="7984"/>
        </w:tabs>
        <w:ind w:left="7264" w:firstLine="359"/>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A5C7A1F"/>
    <w:multiLevelType w:val="hybridMultilevel"/>
    <w:tmpl w:val="596E6684"/>
    <w:numStyleLink w:val="ImportedStyle6"/>
  </w:abstractNum>
  <w:abstractNum w:abstractNumId="15" w15:restartNumberingAfterBreak="0">
    <w:nsid w:val="4DC54B06"/>
    <w:multiLevelType w:val="hybridMultilevel"/>
    <w:tmpl w:val="D74C118E"/>
    <w:numStyleLink w:val="Lettered"/>
  </w:abstractNum>
  <w:abstractNum w:abstractNumId="16" w15:restartNumberingAfterBreak="0">
    <w:nsid w:val="527F0E27"/>
    <w:multiLevelType w:val="hybridMultilevel"/>
    <w:tmpl w:val="F3B8928E"/>
    <w:numStyleLink w:val="ImportedStyle4"/>
  </w:abstractNum>
  <w:abstractNum w:abstractNumId="17" w15:restartNumberingAfterBreak="0">
    <w:nsid w:val="54A15F7A"/>
    <w:multiLevelType w:val="hybridMultilevel"/>
    <w:tmpl w:val="0EF4E896"/>
    <w:numStyleLink w:val="ImportedStyle3"/>
  </w:abstractNum>
  <w:abstractNum w:abstractNumId="18" w15:restartNumberingAfterBreak="0">
    <w:nsid w:val="5BB14C9E"/>
    <w:multiLevelType w:val="hybridMultilevel"/>
    <w:tmpl w:val="10FE4B3A"/>
    <w:styleLink w:val="ImportedStyle2"/>
    <w:lvl w:ilvl="0" w:tplc="5172079C">
      <w:start w:val="1"/>
      <w:numFmt w:val="lowerLetter"/>
      <w:lvlText w:val="%1."/>
      <w:lvlJc w:val="left"/>
      <w:pPr>
        <w:tabs>
          <w:tab w:val="left" w:pos="1208"/>
        </w:tabs>
        <w:ind w:left="120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68642472">
      <w:start w:val="1"/>
      <w:numFmt w:val="lowerLetter"/>
      <w:lvlText w:val="%2."/>
      <w:lvlJc w:val="left"/>
      <w:pPr>
        <w:tabs>
          <w:tab w:val="left" w:pos="1208"/>
        </w:tabs>
        <w:ind w:left="108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877C012E">
      <w:start w:val="1"/>
      <w:numFmt w:val="lowerLetter"/>
      <w:lvlText w:val="%3."/>
      <w:lvlJc w:val="left"/>
      <w:pPr>
        <w:tabs>
          <w:tab w:val="left" w:pos="1208"/>
        </w:tabs>
        <w:ind w:left="18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90F477CA">
      <w:start w:val="1"/>
      <w:numFmt w:val="lowerLetter"/>
      <w:lvlText w:val="%4."/>
      <w:lvlJc w:val="left"/>
      <w:pPr>
        <w:tabs>
          <w:tab w:val="left" w:pos="1208"/>
        </w:tabs>
        <w:ind w:left="252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F3FCC3DA">
      <w:start w:val="1"/>
      <w:numFmt w:val="lowerLetter"/>
      <w:lvlText w:val="%5."/>
      <w:lvlJc w:val="left"/>
      <w:pPr>
        <w:tabs>
          <w:tab w:val="left" w:pos="1208"/>
        </w:tabs>
        <w:ind w:left="324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FB825BE0">
      <w:start w:val="1"/>
      <w:numFmt w:val="lowerLetter"/>
      <w:lvlText w:val="%6."/>
      <w:lvlJc w:val="left"/>
      <w:pPr>
        <w:tabs>
          <w:tab w:val="left" w:pos="1208"/>
        </w:tabs>
        <w:ind w:left="396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2A8C960A">
      <w:start w:val="1"/>
      <w:numFmt w:val="lowerLetter"/>
      <w:lvlText w:val="%7."/>
      <w:lvlJc w:val="left"/>
      <w:pPr>
        <w:tabs>
          <w:tab w:val="left" w:pos="1208"/>
        </w:tabs>
        <w:ind w:left="468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77DEDB0A">
      <w:start w:val="1"/>
      <w:numFmt w:val="lowerLetter"/>
      <w:lvlText w:val="%8."/>
      <w:lvlJc w:val="left"/>
      <w:pPr>
        <w:tabs>
          <w:tab w:val="left" w:pos="1208"/>
        </w:tabs>
        <w:ind w:left="54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C0EA7B9C">
      <w:start w:val="1"/>
      <w:numFmt w:val="lowerLetter"/>
      <w:lvlText w:val="%9."/>
      <w:lvlJc w:val="left"/>
      <w:pPr>
        <w:tabs>
          <w:tab w:val="left" w:pos="1208"/>
        </w:tabs>
        <w:ind w:left="612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CC07603"/>
    <w:multiLevelType w:val="hybridMultilevel"/>
    <w:tmpl w:val="57446222"/>
    <w:styleLink w:val="ImportedStyle7"/>
    <w:lvl w:ilvl="0" w:tplc="0E460248">
      <w:start w:val="1"/>
      <w:numFmt w:val="lowerLetter"/>
      <w:lvlText w:val="%1."/>
      <w:lvlJc w:val="left"/>
      <w:pPr>
        <w:tabs>
          <w:tab w:val="left" w:pos="848"/>
        </w:tabs>
        <w:ind w:left="84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00AC2E5C">
      <w:start w:val="1"/>
      <w:numFmt w:val="lowerLetter"/>
      <w:lvlText w:val="%2."/>
      <w:lvlJc w:val="left"/>
      <w:pPr>
        <w:tabs>
          <w:tab w:val="left" w:pos="1208"/>
        </w:tabs>
        <w:ind w:left="120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001EE7E6">
      <w:start w:val="1"/>
      <w:numFmt w:val="lowerLetter"/>
      <w:lvlText w:val="%3."/>
      <w:lvlJc w:val="left"/>
      <w:pPr>
        <w:tabs>
          <w:tab w:val="left" w:pos="1208"/>
        </w:tabs>
        <w:ind w:left="2054"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0D865072">
      <w:start w:val="1"/>
      <w:numFmt w:val="lowerLetter"/>
      <w:lvlText w:val="%4."/>
      <w:lvlJc w:val="left"/>
      <w:pPr>
        <w:tabs>
          <w:tab w:val="left" w:pos="1208"/>
        </w:tabs>
        <w:ind w:left="2901"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97308216">
      <w:start w:val="1"/>
      <w:numFmt w:val="lowerLetter"/>
      <w:lvlText w:val="%5."/>
      <w:lvlJc w:val="left"/>
      <w:pPr>
        <w:tabs>
          <w:tab w:val="left" w:pos="1208"/>
        </w:tabs>
        <w:ind w:left="3748"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27F66040">
      <w:start w:val="1"/>
      <w:numFmt w:val="lowerLetter"/>
      <w:lvlText w:val="%6."/>
      <w:lvlJc w:val="left"/>
      <w:pPr>
        <w:tabs>
          <w:tab w:val="left" w:pos="1208"/>
        </w:tabs>
        <w:ind w:left="4595"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0662460C">
      <w:start w:val="1"/>
      <w:numFmt w:val="lowerLetter"/>
      <w:lvlText w:val="%7."/>
      <w:lvlJc w:val="left"/>
      <w:pPr>
        <w:tabs>
          <w:tab w:val="left" w:pos="1208"/>
        </w:tabs>
        <w:ind w:left="5442"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B67AD3F4">
      <w:start w:val="1"/>
      <w:numFmt w:val="lowerLetter"/>
      <w:lvlText w:val="%8."/>
      <w:lvlJc w:val="left"/>
      <w:pPr>
        <w:tabs>
          <w:tab w:val="left" w:pos="1208"/>
        </w:tabs>
        <w:ind w:left="6289"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F0CC77F0">
      <w:start w:val="1"/>
      <w:numFmt w:val="lowerLetter"/>
      <w:lvlText w:val="%9."/>
      <w:lvlJc w:val="left"/>
      <w:pPr>
        <w:tabs>
          <w:tab w:val="left" w:pos="1208"/>
        </w:tabs>
        <w:ind w:left="7136"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9D36112"/>
    <w:multiLevelType w:val="hybridMultilevel"/>
    <w:tmpl w:val="57446222"/>
    <w:numStyleLink w:val="ImportedStyle7"/>
  </w:abstractNum>
  <w:abstractNum w:abstractNumId="21" w15:restartNumberingAfterBreak="0">
    <w:nsid w:val="7ADC0D01"/>
    <w:multiLevelType w:val="hybridMultilevel"/>
    <w:tmpl w:val="28E2E478"/>
    <w:styleLink w:val="ImportedStyle5"/>
    <w:lvl w:ilvl="0" w:tplc="869A3BA8">
      <w:start w:val="1"/>
      <w:numFmt w:val="lowerLetter"/>
      <w:lvlText w:val="%1."/>
      <w:lvlJc w:val="left"/>
      <w:pPr>
        <w:tabs>
          <w:tab w:val="left" w:pos="848"/>
        </w:tabs>
        <w:ind w:left="84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tplc="18ACDBE6">
      <w:start w:val="1"/>
      <w:numFmt w:val="lowerLetter"/>
      <w:suff w:val="nothing"/>
      <w:lvlText w:val="%2."/>
      <w:lvlJc w:val="left"/>
      <w:pPr>
        <w:tabs>
          <w:tab w:val="left" w:pos="848"/>
        </w:tabs>
        <w:ind w:left="848" w:hanging="128"/>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tplc="B6C2E5BC">
      <w:start w:val="1"/>
      <w:numFmt w:val="lowerLetter"/>
      <w:lvlText w:val="%3."/>
      <w:lvlJc w:val="left"/>
      <w:pPr>
        <w:tabs>
          <w:tab w:val="left" w:pos="848"/>
        </w:tabs>
        <w:ind w:left="18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tplc="1D442666">
      <w:start w:val="1"/>
      <w:numFmt w:val="lowerLetter"/>
      <w:lvlText w:val="%4."/>
      <w:lvlJc w:val="left"/>
      <w:pPr>
        <w:tabs>
          <w:tab w:val="left" w:pos="848"/>
        </w:tabs>
        <w:ind w:left="252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tplc="8FF894C0">
      <w:start w:val="1"/>
      <w:numFmt w:val="lowerLetter"/>
      <w:lvlText w:val="%5."/>
      <w:lvlJc w:val="left"/>
      <w:pPr>
        <w:tabs>
          <w:tab w:val="left" w:pos="848"/>
        </w:tabs>
        <w:ind w:left="324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tplc="107E1F44">
      <w:start w:val="1"/>
      <w:numFmt w:val="lowerLetter"/>
      <w:lvlText w:val="%6."/>
      <w:lvlJc w:val="left"/>
      <w:pPr>
        <w:tabs>
          <w:tab w:val="left" w:pos="848"/>
        </w:tabs>
        <w:ind w:left="396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tplc="F7E805DE">
      <w:start w:val="1"/>
      <w:numFmt w:val="lowerLetter"/>
      <w:lvlText w:val="%7."/>
      <w:lvlJc w:val="left"/>
      <w:pPr>
        <w:tabs>
          <w:tab w:val="left" w:pos="848"/>
        </w:tabs>
        <w:ind w:left="468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tplc="576C1EC6">
      <w:start w:val="1"/>
      <w:numFmt w:val="lowerLetter"/>
      <w:lvlText w:val="%8."/>
      <w:lvlJc w:val="left"/>
      <w:pPr>
        <w:tabs>
          <w:tab w:val="left" w:pos="848"/>
        </w:tabs>
        <w:ind w:left="54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tplc="17E64648">
      <w:start w:val="1"/>
      <w:numFmt w:val="lowerLetter"/>
      <w:lvlText w:val="%9."/>
      <w:lvlJc w:val="left"/>
      <w:pPr>
        <w:tabs>
          <w:tab w:val="left" w:pos="848"/>
        </w:tabs>
        <w:ind w:left="612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828179837">
    <w:abstractNumId w:val="3"/>
  </w:num>
  <w:num w:numId="2" w16cid:durableId="68695412">
    <w:abstractNumId w:val="8"/>
  </w:num>
  <w:num w:numId="3" w16cid:durableId="1194148657">
    <w:abstractNumId w:val="8"/>
    <w:lvlOverride w:ilvl="0">
      <w:lvl w:ilvl="0" w:tplc="AB067118">
        <w:start w:val="1"/>
        <w:numFmt w:val="lowerLetter"/>
        <w:lvlText w:val="%1."/>
        <w:lvlJc w:val="left"/>
        <w:pPr>
          <w:tabs>
            <w:tab w:val="left" w:pos="1298"/>
          </w:tabs>
          <w:ind w:left="129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F546132">
        <w:start w:val="1"/>
        <w:numFmt w:val="lowerLetter"/>
        <w:lvlText w:val="%2."/>
        <w:lvlJc w:val="left"/>
        <w:pPr>
          <w:tabs>
            <w:tab w:val="left" w:pos="1298"/>
          </w:tabs>
          <w:ind w:left="108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D7C1640">
        <w:start w:val="1"/>
        <w:numFmt w:val="lowerLetter"/>
        <w:lvlText w:val="%3."/>
        <w:lvlJc w:val="left"/>
        <w:pPr>
          <w:tabs>
            <w:tab w:val="left" w:pos="1298"/>
          </w:tabs>
          <w:ind w:left="18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B20FE8">
        <w:start w:val="1"/>
        <w:numFmt w:val="lowerLetter"/>
        <w:lvlText w:val="%4."/>
        <w:lvlJc w:val="left"/>
        <w:pPr>
          <w:tabs>
            <w:tab w:val="left" w:pos="1298"/>
          </w:tabs>
          <w:ind w:left="252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2F090D6">
        <w:start w:val="1"/>
        <w:numFmt w:val="lowerLetter"/>
        <w:lvlText w:val="%5."/>
        <w:lvlJc w:val="left"/>
        <w:pPr>
          <w:tabs>
            <w:tab w:val="left" w:pos="1298"/>
          </w:tabs>
          <w:ind w:left="324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A409012">
        <w:start w:val="1"/>
        <w:numFmt w:val="lowerLetter"/>
        <w:lvlText w:val="%6."/>
        <w:lvlJc w:val="left"/>
        <w:pPr>
          <w:tabs>
            <w:tab w:val="left" w:pos="1298"/>
          </w:tabs>
          <w:ind w:left="396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A5C875C">
        <w:start w:val="1"/>
        <w:numFmt w:val="lowerLetter"/>
        <w:lvlText w:val="%7."/>
        <w:lvlJc w:val="left"/>
        <w:pPr>
          <w:tabs>
            <w:tab w:val="left" w:pos="1298"/>
          </w:tabs>
          <w:ind w:left="468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0681A8C">
        <w:start w:val="1"/>
        <w:numFmt w:val="lowerLetter"/>
        <w:lvlText w:val="%8."/>
        <w:lvlJc w:val="left"/>
        <w:pPr>
          <w:tabs>
            <w:tab w:val="left" w:pos="1298"/>
          </w:tabs>
          <w:ind w:left="540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3901804">
        <w:start w:val="1"/>
        <w:numFmt w:val="lowerLetter"/>
        <w:lvlText w:val="%9."/>
        <w:lvlJc w:val="left"/>
        <w:pPr>
          <w:tabs>
            <w:tab w:val="left" w:pos="1298"/>
          </w:tabs>
          <w:ind w:left="612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68188913">
    <w:abstractNumId w:val="8"/>
    <w:lvlOverride w:ilvl="0">
      <w:lvl w:ilvl="0" w:tplc="AB067118">
        <w:start w:val="1"/>
        <w:numFmt w:val="lowerLetter"/>
        <w:lvlText w:val="%1."/>
        <w:lvlJc w:val="left"/>
        <w:pPr>
          <w:ind w:left="1298"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F546132">
        <w:start w:val="1"/>
        <w:numFmt w:val="lowerLetter"/>
        <w:lvlText w:val="%2."/>
        <w:lvlJc w:val="left"/>
        <w:pPr>
          <w:tabs>
            <w:tab w:val="left" w:pos="1298"/>
          </w:tabs>
          <w:ind w:left="108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D7C1640">
        <w:start w:val="1"/>
        <w:numFmt w:val="lowerLetter"/>
        <w:lvlText w:val="%3."/>
        <w:lvlJc w:val="left"/>
        <w:pPr>
          <w:tabs>
            <w:tab w:val="left" w:pos="1298"/>
          </w:tabs>
          <w:ind w:left="18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B20FE8">
        <w:start w:val="1"/>
        <w:numFmt w:val="lowerLetter"/>
        <w:lvlText w:val="%4."/>
        <w:lvlJc w:val="left"/>
        <w:pPr>
          <w:tabs>
            <w:tab w:val="left" w:pos="1298"/>
          </w:tabs>
          <w:ind w:left="252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2F090D6">
        <w:start w:val="1"/>
        <w:numFmt w:val="lowerLetter"/>
        <w:lvlText w:val="%5."/>
        <w:lvlJc w:val="left"/>
        <w:pPr>
          <w:tabs>
            <w:tab w:val="left" w:pos="1298"/>
          </w:tabs>
          <w:ind w:left="324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A409012">
        <w:start w:val="1"/>
        <w:numFmt w:val="lowerLetter"/>
        <w:lvlText w:val="%6."/>
        <w:lvlJc w:val="left"/>
        <w:pPr>
          <w:tabs>
            <w:tab w:val="left" w:pos="1298"/>
          </w:tabs>
          <w:ind w:left="396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A5C875C">
        <w:start w:val="1"/>
        <w:numFmt w:val="lowerLetter"/>
        <w:lvlText w:val="%7."/>
        <w:lvlJc w:val="left"/>
        <w:pPr>
          <w:tabs>
            <w:tab w:val="left" w:pos="1298"/>
          </w:tabs>
          <w:ind w:left="468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0681A8C">
        <w:start w:val="1"/>
        <w:numFmt w:val="lowerLetter"/>
        <w:lvlText w:val="%8."/>
        <w:lvlJc w:val="left"/>
        <w:pPr>
          <w:tabs>
            <w:tab w:val="left" w:pos="1298"/>
          </w:tabs>
          <w:ind w:left="54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3901804">
        <w:start w:val="1"/>
        <w:numFmt w:val="lowerLetter"/>
        <w:lvlText w:val="%9."/>
        <w:lvlJc w:val="left"/>
        <w:pPr>
          <w:tabs>
            <w:tab w:val="left" w:pos="1298"/>
          </w:tabs>
          <w:ind w:left="612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16cid:durableId="1069038325">
    <w:abstractNumId w:val="18"/>
  </w:num>
  <w:num w:numId="6" w16cid:durableId="964198136">
    <w:abstractNumId w:val="6"/>
  </w:num>
  <w:num w:numId="7" w16cid:durableId="1002858324">
    <w:abstractNumId w:val="5"/>
  </w:num>
  <w:num w:numId="8" w16cid:durableId="2015257413">
    <w:abstractNumId w:val="17"/>
  </w:num>
  <w:num w:numId="9" w16cid:durableId="1911377732">
    <w:abstractNumId w:val="12"/>
  </w:num>
  <w:num w:numId="10" w16cid:durableId="1140656466">
    <w:abstractNumId w:val="16"/>
  </w:num>
  <w:num w:numId="11" w16cid:durableId="1791317936">
    <w:abstractNumId w:val="21"/>
  </w:num>
  <w:num w:numId="12" w16cid:durableId="1719893667">
    <w:abstractNumId w:val="4"/>
  </w:num>
  <w:num w:numId="13" w16cid:durableId="522675312">
    <w:abstractNumId w:val="10"/>
  </w:num>
  <w:num w:numId="14" w16cid:durableId="819812537">
    <w:abstractNumId w:val="14"/>
  </w:num>
  <w:num w:numId="15" w16cid:durableId="1961300155">
    <w:abstractNumId w:val="19"/>
  </w:num>
  <w:num w:numId="16" w16cid:durableId="2125464773">
    <w:abstractNumId w:val="20"/>
  </w:num>
  <w:num w:numId="17" w16cid:durableId="373431635">
    <w:abstractNumId w:val="20"/>
    <w:lvlOverride w:ilvl="0">
      <w:lvl w:ilvl="0" w:tplc="7E60AD6E">
        <w:start w:val="1"/>
        <w:numFmt w:val="lowerLetter"/>
        <w:lvlText w:val="%1."/>
        <w:lvlJc w:val="left"/>
        <w:pPr>
          <w:ind w:left="848"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ACC5A0A">
        <w:start w:val="1"/>
        <w:numFmt w:val="lowerLetter"/>
        <w:lvlText w:val="%2."/>
        <w:lvlJc w:val="left"/>
        <w:pPr>
          <w:ind w:left="1208"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086B10E">
        <w:start w:val="1"/>
        <w:numFmt w:val="lowerLetter"/>
        <w:lvlText w:val="%3."/>
        <w:lvlJc w:val="left"/>
        <w:pPr>
          <w:ind w:left="2055"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73A5F16">
        <w:start w:val="1"/>
        <w:numFmt w:val="lowerLetter"/>
        <w:lvlText w:val="%4."/>
        <w:lvlJc w:val="left"/>
        <w:pPr>
          <w:ind w:left="2902"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F90D4D4">
        <w:start w:val="1"/>
        <w:numFmt w:val="lowerLetter"/>
        <w:lvlText w:val="%5."/>
        <w:lvlJc w:val="left"/>
        <w:pPr>
          <w:ind w:left="3749"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BF2784A">
        <w:start w:val="1"/>
        <w:numFmt w:val="lowerLetter"/>
        <w:lvlText w:val="%6."/>
        <w:lvlJc w:val="left"/>
        <w:pPr>
          <w:ind w:left="4596"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836265A">
        <w:start w:val="1"/>
        <w:numFmt w:val="lowerLetter"/>
        <w:lvlText w:val="%7."/>
        <w:lvlJc w:val="left"/>
        <w:pPr>
          <w:ind w:left="5443"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C5AC7EA">
        <w:start w:val="1"/>
        <w:numFmt w:val="lowerLetter"/>
        <w:lvlText w:val="%8."/>
        <w:lvlJc w:val="left"/>
        <w:pPr>
          <w:ind w:left="6290"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B4C690E">
        <w:start w:val="1"/>
        <w:numFmt w:val="lowerLetter"/>
        <w:lvlText w:val="%9."/>
        <w:lvlJc w:val="left"/>
        <w:pPr>
          <w:ind w:left="7137"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16cid:durableId="1451509867">
    <w:abstractNumId w:val="20"/>
    <w:lvlOverride w:ilvl="0">
      <w:lvl w:ilvl="0" w:tplc="7E60AD6E">
        <w:start w:val="1"/>
        <w:numFmt w:val="lowerLetter"/>
        <w:lvlText w:val="%1."/>
        <w:lvlJc w:val="left"/>
        <w:pPr>
          <w:ind w:left="84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ACC5A0A">
        <w:start w:val="1"/>
        <w:numFmt w:val="lowerLetter"/>
        <w:lvlText w:val="%2."/>
        <w:lvlJc w:val="left"/>
        <w:pPr>
          <w:ind w:left="1208"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086B10E">
        <w:start w:val="1"/>
        <w:numFmt w:val="lowerLetter"/>
        <w:lvlText w:val="%3."/>
        <w:lvlJc w:val="left"/>
        <w:pPr>
          <w:ind w:left="2055"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73A5F16">
        <w:start w:val="1"/>
        <w:numFmt w:val="lowerLetter"/>
        <w:lvlText w:val="%4."/>
        <w:lvlJc w:val="left"/>
        <w:pPr>
          <w:ind w:left="2902"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F90D4D4">
        <w:start w:val="1"/>
        <w:numFmt w:val="lowerLetter"/>
        <w:lvlText w:val="%5."/>
        <w:lvlJc w:val="left"/>
        <w:pPr>
          <w:ind w:left="3749"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BF2784A">
        <w:start w:val="1"/>
        <w:numFmt w:val="lowerLetter"/>
        <w:lvlText w:val="%6."/>
        <w:lvlJc w:val="left"/>
        <w:pPr>
          <w:ind w:left="4596"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836265A">
        <w:start w:val="1"/>
        <w:numFmt w:val="lowerLetter"/>
        <w:lvlText w:val="%7."/>
        <w:lvlJc w:val="left"/>
        <w:pPr>
          <w:ind w:left="5443"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C5AC7EA">
        <w:start w:val="1"/>
        <w:numFmt w:val="lowerLetter"/>
        <w:lvlText w:val="%8."/>
        <w:lvlJc w:val="left"/>
        <w:pPr>
          <w:ind w:left="6290"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B4C690E">
        <w:start w:val="1"/>
        <w:numFmt w:val="lowerLetter"/>
        <w:lvlText w:val="%9."/>
        <w:lvlJc w:val="left"/>
        <w:pPr>
          <w:ind w:left="7137"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16cid:durableId="133370970">
    <w:abstractNumId w:val="2"/>
  </w:num>
  <w:num w:numId="20" w16cid:durableId="864437884">
    <w:abstractNumId w:val="15"/>
  </w:num>
  <w:num w:numId="21" w16cid:durableId="1743942879">
    <w:abstractNumId w:val="9"/>
  </w:num>
  <w:num w:numId="22" w16cid:durableId="1221481281">
    <w:abstractNumId w:val="1"/>
  </w:num>
  <w:num w:numId="23" w16cid:durableId="1511607439">
    <w:abstractNumId w:val="13"/>
  </w:num>
  <w:num w:numId="24" w16cid:durableId="1820263571">
    <w:abstractNumId w:val="11"/>
  </w:num>
  <w:num w:numId="25" w16cid:durableId="1300916240">
    <w:abstractNumId w:val="11"/>
    <w:lvlOverride w:ilvl="0">
      <w:startOverride w:val="1"/>
      <w:lvl w:ilvl="0" w:tplc="A67A2228">
        <w:start w:val="1"/>
        <w:numFmt w:val="lowerLetter"/>
        <w:lvlText w:val="%1."/>
        <w:lvlJc w:val="left"/>
        <w:pPr>
          <w:ind w:left="1210"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96A55C8">
        <w:start w:val="1"/>
        <w:numFmt w:val="lowerLetter"/>
        <w:lvlText w:val="%2."/>
        <w:lvlJc w:val="left"/>
        <w:pPr>
          <w:ind w:left="1207"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94E2C36">
        <w:start w:val="1"/>
        <w:numFmt w:val="lowerLetter"/>
        <w:lvlText w:val="%3."/>
        <w:lvlJc w:val="left"/>
        <w:pPr>
          <w:ind w:left="2054"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E380B58">
        <w:start w:val="1"/>
        <w:numFmt w:val="lowerLetter"/>
        <w:lvlText w:val="%4."/>
        <w:lvlJc w:val="left"/>
        <w:pPr>
          <w:ind w:left="2901"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500CC54">
        <w:start w:val="1"/>
        <w:numFmt w:val="lowerLetter"/>
        <w:lvlText w:val="%5."/>
        <w:lvlJc w:val="left"/>
        <w:pPr>
          <w:ind w:left="3748"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1D0202E">
        <w:start w:val="1"/>
        <w:numFmt w:val="lowerLetter"/>
        <w:lvlText w:val="%6."/>
        <w:lvlJc w:val="left"/>
        <w:pPr>
          <w:ind w:left="4595"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7E07FB8">
        <w:start w:val="1"/>
        <w:numFmt w:val="lowerLetter"/>
        <w:lvlText w:val="%7."/>
        <w:lvlJc w:val="left"/>
        <w:pPr>
          <w:ind w:left="5442"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BD24B4E">
        <w:start w:val="1"/>
        <w:numFmt w:val="lowerLetter"/>
        <w:lvlText w:val="%8."/>
        <w:lvlJc w:val="left"/>
        <w:pPr>
          <w:ind w:left="6289"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C1679AE">
        <w:start w:val="1"/>
        <w:numFmt w:val="lowerLetter"/>
        <w:lvlText w:val="%9."/>
        <w:lvlJc w:val="left"/>
        <w:pPr>
          <w:ind w:left="7136" w:hanging="360"/>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6" w16cid:durableId="1422137265">
    <w:abstractNumId w:val="0"/>
  </w:num>
  <w:num w:numId="27" w16cid:durableId="749347872">
    <w:abstractNumId w:val="7"/>
  </w:num>
  <w:num w:numId="28" w16cid:durableId="1393428544">
    <w:abstractNumId w:val="7"/>
    <w:lvlOverride w:ilvl="0">
      <w:lvl w:ilvl="0" w:tplc="19F2D33A">
        <w:start w:val="1"/>
        <w:numFmt w:val="lowerLetter"/>
        <w:lvlText w:val="%1."/>
        <w:lvlJc w:val="left"/>
        <w:pPr>
          <w:ind w:left="1208"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F86629A">
        <w:start w:val="1"/>
        <w:numFmt w:val="lowerLetter"/>
        <w:lvlText w:val="%2."/>
        <w:lvlJc w:val="left"/>
        <w:pPr>
          <w:ind w:left="108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F08C714">
        <w:start w:val="1"/>
        <w:numFmt w:val="lowerLetter"/>
        <w:lvlText w:val="%3."/>
        <w:lvlJc w:val="left"/>
        <w:pPr>
          <w:ind w:left="18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5CA7F52">
        <w:start w:val="1"/>
        <w:numFmt w:val="lowerLetter"/>
        <w:lvlText w:val="%4."/>
        <w:lvlJc w:val="left"/>
        <w:pPr>
          <w:ind w:left="252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660DF60">
        <w:start w:val="1"/>
        <w:numFmt w:val="lowerLetter"/>
        <w:lvlText w:val="%5."/>
        <w:lvlJc w:val="left"/>
        <w:pPr>
          <w:ind w:left="324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7FEC2C6">
        <w:start w:val="1"/>
        <w:numFmt w:val="lowerLetter"/>
        <w:lvlText w:val="%6."/>
        <w:lvlJc w:val="left"/>
        <w:pPr>
          <w:ind w:left="396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1D07B58">
        <w:start w:val="1"/>
        <w:numFmt w:val="lowerLetter"/>
        <w:lvlText w:val="%7."/>
        <w:lvlJc w:val="left"/>
        <w:pPr>
          <w:ind w:left="468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EA6873C">
        <w:start w:val="1"/>
        <w:numFmt w:val="lowerLetter"/>
        <w:lvlText w:val="%8."/>
        <w:lvlJc w:val="left"/>
        <w:pPr>
          <w:ind w:left="540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2667A32">
        <w:start w:val="1"/>
        <w:numFmt w:val="lowerLetter"/>
        <w:lvlText w:val="%9."/>
        <w:lvlJc w:val="left"/>
        <w:pPr>
          <w:ind w:left="6121" w:hanging="361"/>
        </w:pPr>
        <w:rPr>
          <w:rFonts w:ascii="Spectral Regular" w:eastAsia="Spectral Regular" w:hAnsi="Spectral Regular" w:cs="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9" w16cid:durableId="1607613039">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isplayBackgroundShape/>
  <w:proofState w:spelling="clean" w:grammar="clean"/>
  <w:defaultTabStop w:val="720"/>
  <w:autoHyphenation/>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8A4"/>
    <w:rsid w:val="0023670C"/>
    <w:rsid w:val="002A57CE"/>
    <w:rsid w:val="005148A4"/>
    <w:rsid w:val="00BF3368"/>
    <w:rsid w:val="00EB7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9828"/>
  <w15:docId w15:val="{3EFB739C-3374-4DD5-887F-220B8C835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Spectral Regular" w:hAnsi="Spectral Regular" w:cs="Arial Unicode MS"/>
      <w:color w:val="000000"/>
      <w:sz w:val="24"/>
      <w:szCs w:val="24"/>
      <w:u w:color="000000"/>
      <w14:textOutline w14:w="12700" w14:cap="flat" w14:cmpd="sng" w14:algn="ctr">
        <w14:noFill/>
        <w14:prstDash w14:val="solid"/>
        <w14:miter w14:lim="400000"/>
      </w14:textOutline>
    </w:rPr>
  </w:style>
  <w:style w:type="character" w:customStyle="1" w:styleId="NoneA">
    <w:name w:val="None A"/>
  </w:style>
  <w:style w:type="paragraph" w:styleId="Title">
    <w:name w:val="Title"/>
    <w:pPr>
      <w:keepNext/>
      <w:spacing w:line="192" w:lineRule="auto"/>
      <w:jc w:val="center"/>
    </w:pPr>
    <w:rPr>
      <w:rFonts w:ascii="Spectral SemiBold" w:hAnsi="Spectral SemiBold" w:cs="Arial Unicode MS"/>
      <w:color w:val="000000"/>
      <w:sz w:val="24"/>
      <w:szCs w:val="24"/>
      <w:u w:color="000000"/>
      <w14:textOutline w14:w="12700" w14:cap="flat" w14:cmpd="sng" w14:algn="ctr">
        <w14:noFill/>
        <w14:prstDash w14:val="solid"/>
        <w14:miter w14:lim="400000"/>
      </w14:textOutline>
    </w:rPr>
  </w:style>
  <w:style w:type="paragraph" w:customStyle="1" w:styleId="Heading">
    <w:name w:val="Heading"/>
    <w:pPr>
      <w:widowControl w:val="0"/>
      <w:spacing w:before="80" w:line="144" w:lineRule="auto"/>
      <w:ind w:left="1810" w:right="1785"/>
      <w:jc w:val="center"/>
      <w:outlineLvl w:val="0"/>
    </w:pPr>
    <w:rPr>
      <w:rFonts w:ascii="Spectral SemiBold" w:hAnsi="Spectral SemiBold" w:cs="Arial Unicode MS"/>
      <w:color w:val="000000"/>
      <w:sz w:val="24"/>
      <w:szCs w:val="24"/>
      <w:u w:color="000000"/>
      <w14:textOutline w14:w="12700" w14:cap="flat" w14:cmpd="sng" w14:algn="ctr">
        <w14:noFill/>
        <w14:prstDash w14:val="solid"/>
        <w14:miter w14:lim="400000"/>
      </w14:textOutline>
    </w:rPr>
  </w:style>
  <w:style w:type="paragraph" w:customStyle="1" w:styleId="Default">
    <w:name w:val="Default"/>
    <w:pPr>
      <w:spacing w:before="160"/>
    </w:pPr>
    <w:rPr>
      <w:rFonts w:ascii="Roboto Regular" w:eastAsia="Roboto Regular" w:hAnsi="Roboto Regular" w:cs="Roboto Regular"/>
      <w:color w:val="000000"/>
      <w:sz w:val="24"/>
      <w:szCs w:val="24"/>
      <w:u w:color="000000"/>
      <w14:textOutline w14:w="12700" w14:cap="flat" w14:cmpd="sng" w14:algn="ctr">
        <w14:noFill/>
        <w14:prstDash w14:val="solid"/>
        <w14:miter w14:lim="400000"/>
      </w14:textOutline>
    </w:rPr>
  </w:style>
  <w:style w:type="paragraph" w:customStyle="1" w:styleId="BodyA">
    <w:name w:val="Body A"/>
    <w:pPr>
      <w:widowControl w:val="0"/>
      <w:spacing w:before="100" w:after="100"/>
      <w:ind w:left="127" w:right="101" w:firstLine="720"/>
      <w:jc w:val="both"/>
    </w:pPr>
    <w:rPr>
      <w:rFonts w:ascii="Spectral Regular" w:hAnsi="Spectral Regular" w:cs="Arial Unicode MS"/>
      <w:color w:val="000000"/>
      <w:sz w:val="24"/>
      <w:szCs w:val="24"/>
      <w:u w:color="000000"/>
      <w14:textOutline w14:w="12700" w14:cap="flat" w14:cmpd="sng" w14:algn="ctr">
        <w14:noFill/>
        <w14:prstDash w14:val="solid"/>
        <w14:miter w14:lim="400000"/>
      </w14:textOutline>
    </w:rPr>
  </w:style>
  <w:style w:type="paragraph" w:styleId="TOC1">
    <w:name w:val="toc 1"/>
    <w:pPr>
      <w:tabs>
        <w:tab w:val="right" w:pos="8920"/>
      </w:tabs>
      <w:spacing w:before="160"/>
    </w:pPr>
    <w:rPr>
      <w:rFonts w:ascii="Spectral Regular" w:eastAsia="Spectral Regular" w:hAnsi="Spectral Regular" w:cs="Spectral Regular"/>
      <w:color w:val="000000"/>
      <w:sz w:val="28"/>
      <w:szCs w:val="28"/>
      <w:u w:color="000000"/>
    </w:rPr>
  </w:style>
  <w:style w:type="paragraph" w:styleId="TOC2">
    <w:name w:val="toc 2"/>
    <w:pPr>
      <w:tabs>
        <w:tab w:val="right" w:pos="8920"/>
      </w:tabs>
      <w:spacing w:before="160"/>
    </w:pPr>
    <w:rPr>
      <w:rFonts w:ascii="Spectral Regular" w:eastAsia="Spectral Regular" w:hAnsi="Spectral Regular" w:cs="Spectral Regular"/>
      <w:color w:val="000000"/>
      <w:sz w:val="28"/>
      <w:szCs w:val="28"/>
      <w:u w:color="000000"/>
    </w:rPr>
  </w:style>
  <w:style w:type="paragraph" w:customStyle="1" w:styleId="Body">
    <w:name w:val="Body"/>
    <w:pPr>
      <w:outlineLvl w:val="1"/>
    </w:pPr>
    <w:rPr>
      <w:rFonts w:eastAsia="Times New Roman"/>
      <w:color w:val="000000"/>
      <w:sz w:val="24"/>
      <w:szCs w:val="24"/>
      <w:u w:color="000000"/>
      <w14:textOutline w14:w="0" w14:cap="flat" w14:cmpd="sng" w14:algn="ctr">
        <w14:noFill/>
        <w14:prstDash w14:val="solid"/>
        <w14:bevel/>
      </w14:textOutline>
    </w:rPr>
  </w:style>
  <w:style w:type="paragraph" w:styleId="TOC3">
    <w:name w:val="toc 3"/>
    <w:pPr>
      <w:tabs>
        <w:tab w:val="right" w:pos="8920"/>
      </w:tabs>
      <w:spacing w:before="40"/>
    </w:pPr>
    <w:rPr>
      <w:rFonts w:ascii="Spectral Regular" w:eastAsia="Spectral Regular" w:hAnsi="Spectral Regular" w:cs="Spectral Regular"/>
      <w:color w:val="000000"/>
      <w:sz w:val="24"/>
      <w:szCs w:val="24"/>
      <w:u w:color="000000"/>
    </w:rPr>
  </w:style>
  <w:style w:type="paragraph" w:styleId="Subtitle">
    <w:name w:val="Subtitle"/>
    <w:pPr>
      <w:widowControl w:val="0"/>
      <w:spacing w:before="200" w:after="100" w:line="192" w:lineRule="auto"/>
      <w:ind w:left="127" w:right="104" w:firstLine="720"/>
      <w:jc w:val="center"/>
      <w:outlineLvl w:val="2"/>
    </w:pPr>
    <w:rPr>
      <w:rFonts w:ascii="Spectral Regular" w:eastAsia="Spectral Regular" w:hAnsi="Spectral Regular" w:cs="Spectral Regular"/>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numbering" w:customStyle="1" w:styleId="ImportedStyle2">
    <w:name w:val="Imported Style 2"/>
    <w:pPr>
      <w:numPr>
        <w:numId w:val="5"/>
      </w:numPr>
    </w:pPr>
  </w:style>
  <w:style w:type="paragraph" w:customStyle="1" w:styleId="BodySpectral">
    <w:name w:val="Body Spectral"/>
    <w:rPr>
      <w:rFonts w:ascii="Roboto Regular" w:hAnsi="Roboto Regular" w:cs="Arial Unicode MS"/>
      <w:color w:val="000000"/>
      <w:sz w:val="22"/>
      <w:szCs w:val="22"/>
      <w:u w:color="000000"/>
      <w:lang w:val="fr-FR"/>
      <w14:textOutline w14:w="12700" w14:cap="flat" w14:cmpd="sng" w14:algn="ctr">
        <w14:noFill/>
        <w14:prstDash w14:val="solid"/>
        <w14:miter w14:lim="400000"/>
      </w14:textOutline>
    </w:rPr>
  </w:style>
  <w:style w:type="paragraph" w:customStyle="1" w:styleId="Footnote">
    <w:name w:val="Footnote"/>
    <w:rPr>
      <w:rFonts w:ascii="Spectral Regular" w:eastAsia="Spectral Regular" w:hAnsi="Spectral Regular" w:cs="Spectral Regular"/>
      <w:color w:val="000000"/>
      <w:sz w:val="22"/>
      <w:szCs w:val="22"/>
      <w:u w:color="000000"/>
      <w14:textOutline w14:w="12700" w14:cap="flat" w14:cmpd="sng" w14:algn="ctr">
        <w14:noFill/>
        <w14:prstDash w14:val="solid"/>
        <w14:miter w14:lim="400000"/>
      </w14:textOutline>
    </w:rPr>
  </w:style>
  <w:style w:type="numbering" w:customStyle="1" w:styleId="ImportedStyle3">
    <w:name w:val="Imported Style 3"/>
    <w:pPr>
      <w:numPr>
        <w:numId w:val="7"/>
      </w:numPr>
    </w:p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numbering" w:customStyle="1" w:styleId="ImportedStyle6">
    <w:name w:val="Imported Style 6"/>
    <w:pPr>
      <w:numPr>
        <w:numId w:val="13"/>
      </w:numPr>
    </w:pPr>
  </w:style>
  <w:style w:type="numbering" w:customStyle="1" w:styleId="ImportedStyle7">
    <w:name w:val="Imported Style 7"/>
    <w:pPr>
      <w:numPr>
        <w:numId w:val="15"/>
      </w:numPr>
    </w:pPr>
  </w:style>
  <w:style w:type="numbering" w:customStyle="1" w:styleId="Lettered">
    <w:name w:val="Lettered"/>
    <w:pPr>
      <w:numPr>
        <w:numId w:val="19"/>
      </w:numPr>
    </w:pPr>
  </w:style>
  <w:style w:type="numbering" w:customStyle="1" w:styleId="ImportedStyle8">
    <w:name w:val="Imported Style 8"/>
    <w:pPr>
      <w:numPr>
        <w:numId w:val="21"/>
      </w:numPr>
    </w:pPr>
  </w:style>
  <w:style w:type="numbering" w:customStyle="1" w:styleId="ImportedStyle9">
    <w:name w:val="Imported Style 9"/>
    <w:pPr>
      <w:numPr>
        <w:numId w:val="23"/>
      </w:numPr>
    </w:pPr>
  </w:style>
  <w:style w:type="numbering" w:customStyle="1" w:styleId="ImportedStyle10">
    <w:name w:val="Imported Style 10"/>
    <w:pPr>
      <w:numPr>
        <w:numId w:val="26"/>
      </w:numPr>
    </w:pPr>
  </w:style>
  <w:style w:type="character" w:customStyle="1" w:styleId="None">
    <w:name w:val="None"/>
  </w:style>
  <w:style w:type="character" w:customStyle="1" w:styleId="Hyperlink0">
    <w:name w:val="Hyperlink.0"/>
    <w:basedOn w:val="None"/>
    <w:rPr>
      <w:u w:val="thic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yzariz@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Spectral SemiBold"/>
        <a:ea typeface="Spectral SemiBold"/>
        <a:cs typeface="Spectral SemiBold"/>
      </a:majorFont>
      <a:minorFont>
        <a:latin typeface="Spectral Regular"/>
        <a:ea typeface="Spectral Regular"/>
        <a:cs typeface="Spectral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Spectral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Spectral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26</Pages>
  <Words>8997</Words>
  <Characters>51285</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Fem</dc:creator>
  <cp:lastModifiedBy>Fema Gloria Gracia C. Gonzales</cp:lastModifiedBy>
  <cp:revision>3</cp:revision>
  <dcterms:created xsi:type="dcterms:W3CDTF">2022-07-01T06:06:00Z</dcterms:created>
  <dcterms:modified xsi:type="dcterms:W3CDTF">2024-02-21T01:25:00Z</dcterms:modified>
</cp:coreProperties>
</file>